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19,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TRINITY CAPITAL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0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001-39958</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35-2670395</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1 N. 1st Street</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Suite 302</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Phoenix, Arizona</w:t>
            </w: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85004</w:t>
            </w:r>
          </w:p>
        </w:tc>
      </w:tr>
      <w:tr>
        <w:trPr>
          <w:trHeight w:val="228"/>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(480) 374-5350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TRIN</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7.875% Notes Due 2029</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TRINZ</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7.875% Notes Due 2029</w:t>
            </w:r>
          </w:p>
        </w:tc>
        <w:tc>
          <w:tcPr>
            <w:tcW w:w="3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TRINI</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 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19, 2026, Trinity Capital Inc. (the “Company”) entered into an underwriting agreement (the “Underwriting Agreement”) by and among the Company and Keefe, Bruyette &amp; Woods, Inc. and MUFG Securities Americas Inc., as representatives of the several underwriters named in Schedule 1 thereto (collectively, the “Underwriters”), in connection with the issuance and sale of $300,000,000 aggregate principal amount of the Company’s 7.000% Notes due 2031 (the “Notes”).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Underwriting Agreement includes customary representations, warranties and covenants by the Company. It also provides for customary indemnification by each of the Company and the Underwriters against certain liabilities and customary contribution provisions in respect of those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21, 2026, the Company and U.S. Bank Trust Company, National Association (the “Trustee”), entered into an eighth supplemental indenture (the “Eighth Supplemental Indenture”) to the indenture, dated as of January 16, 2020, between the Company and the Trustee (the “Base Indenture”; and together with the Eighth Supplemental Indenture, the “Indenture”), relating to the issuance of the Notes.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will mature on May 21, 2031, and may be redeemed in whole or in part at the Company’s option at any time prior to April 21, 2031 at par value plus a “make-whole” premium calculated in accordance with terms under the Indenture and at par on April 21, 2031 or thereafter. The Notes bear interest at a rate of 7.000% per year payable semi-annually on May 21 and November 21 of each year, commencing on November 21, 2026. The Notes are direct, general unsecured obligations of the Company that rank senior in right of payment to all of the Company’s existing and future indebtedness or other obligations that are expressly subordinated in right of payment to the Notes, rank pari passu with all existing and future unsecured unsubordinated indebtedness or other obligations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or other obligations (including trade payables) incurred by the Company’s subsidiaries, financing vehicles or similar facilities.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contains certain covenants, including covenants requiring the Company to comply with the asset coverage requirements of Section 18(a)(1)</w:t>
      </w:r>
    </w:p>
    <w:p>
      <w:pPr>
        <w:spacing w:after="0" w:line="27" w:lineRule="exact"/>
        <w:rPr>
          <w:sz w:val="20"/>
          <w:szCs w:val="20"/>
          <w:color w:val="auto"/>
        </w:rPr>
      </w:pPr>
    </w:p>
    <w:p>
      <w:pPr>
        <w:jc w:val="both"/>
        <w:ind w:firstLine="8"/>
        <w:spacing w:after="0" w:line="253" w:lineRule="auto"/>
        <w:tabs>
          <w:tab w:leader="none" w:pos="29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modified by Section 61(a) of the Investment Company Act of 1940, as amended, or any successor provisions, but giving effect, in either case, to any exemptive relief granted to the Company by the Securities and Exchange Commission, and to provide financial information to the holders of the Notes and the Trustee if the Company should no longer be subject to the reporting requirements under the Securities Exchange Act of 1934, as amended. These covenants are subject to important limitations and exceptions that are described in the Indenture.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upon the occurrence of a “change of control repurchase event,” as defined in the Indenture, the Company will generally be required to make an offer to purchase the Notes at a price equal to 100% of the principal amount of such Notes plus accrued and unpaid interest to, but not including, the date of purchase.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Notes were offered and sold in an offering registered under the Securities Act of 1933, as amended, pursuant to the Registration Statement on Form N-2 (File No. 333-289495) previously filed with the Securities and Exchange Commission on August 11, 2025, as supplemented by a preliminary prospectus supplement dated May 19, 2026, a final prospectus supplement dated May 19, 2026, and the pricing term sheet dated May 19, 2026. The transaction closed on May 21, 2026. The net proceeds to the Company were approximately $294.54 million, after deducting the underwriting discounts and estimated offering expenses. The Company intends to use the net proceeds to repay outstanding secured indebtedness under its credit agreement with KeyBank, National Association.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Underwriting Agreement, the Base Indenture, the Eighth Supplemental Indenture and the Notes do not purport to be complete and are qualified in their entirety by reference to the full text of the Underwriting Agreement, the Base Indenture, the Eighth Supplemental Indenture and the form of global note representing the Notes, respectively, each filed as exhibits hereto and incorporated by reference herein.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2.03 -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0"/>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Underwriting Agreement, dated May 19, 2026, by and among Trinity Capital Inc. and Keefe, Bruyette &amp; Woods, Inc. and MUFG Securities</w:t>
            </w: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Americas Inc., as representatives of the several underwriters named in Schedule 1 thereto.</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w w:val="99"/>
              </w:rPr>
            </w:pPr>
            <w:hyperlink r:id="rId14">
              <w:r>
                <w:rPr>
                  <w:rFonts w:ascii="Times New Roman" w:cs="Times New Roman" w:eastAsia="Times New Roman" w:hAnsi="Times New Roman"/>
                  <w:sz w:val="18"/>
                  <w:szCs w:val="18"/>
                  <w:color w:val="0000EE"/>
                  <w:w w:val="99"/>
                </w:rPr>
                <w:t>Indenture, dated as of January 16, 2020, by and between Trinity Capital Inc. and U.S. Bank Trust Company, National Association, as trustee</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(incorporated by reference to exhibit 4.3 to the Company’s Registration Statement on Form 10 filed on January 16,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5"/>
                <w:szCs w:val="15"/>
                <w:color w:val="auto"/>
              </w:rPr>
            </w:pP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Eighth Supplemental Indenture, dated as of May 21, 2026, between Trinity Capital Inc. and U.S. Bank Trust Company, National</w:t>
            </w:r>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Association, as Trustee.</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7"/>
                <w:szCs w:val="17"/>
                <w:color w:val="auto"/>
              </w:rPr>
            </w:pP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7.000% Note due 2031(included as part of Exhibit 4.2)</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7"/>
                <w:szCs w:val="17"/>
                <w:color w:val="auto"/>
              </w:rPr>
            </w:pP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Dechert LLP</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5"/>
                <w:szCs w:val="15"/>
                <w:color w:val="auto"/>
              </w:rPr>
            </w:pP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Dechert LLP (included as part of Exhibit 5.1)</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3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580" w:right="4280" w:hanging="5572"/>
        <w:spacing w:after="0" w:line="814"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Trinity Capital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21, 2026</w:t>
            </w: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color w:val="auto"/>
              </w:rPr>
              <w:t>By: /s/ Kyle Brown</w:t>
            </w:r>
          </w:p>
        </w:tc>
      </w:tr>
      <w:tr>
        <w:trPr>
          <w:trHeight w:val="191"/>
        </w:trPr>
        <w:tc>
          <w:tcPr>
            <w:tcW w:w="35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Kyle Brown</w:t>
            </w:r>
          </w:p>
        </w:tc>
      </w:tr>
      <w:tr>
        <w:trPr>
          <w:trHeight w:val="216"/>
        </w:trPr>
        <w:tc>
          <w:tcPr>
            <w:tcW w:w="3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 President and Chief</w:t>
            </w:r>
          </w:p>
        </w:tc>
      </w:tr>
      <w:tr>
        <w:trPr>
          <w:trHeight w:val="234"/>
        </w:trPr>
        <w:tc>
          <w:tcPr>
            <w:tcW w:w="35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Investment Officer</w:t>
            </w:r>
          </w:p>
        </w:tc>
      </w:tr>
      <w:tr>
        <w:trPr>
          <w:trHeight w:val="655"/>
        </w:trPr>
        <w:tc>
          <w:tcPr>
            <w:tcW w:w="35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color w:val="auto"/>
              </w:rPr>
              <w:t>3</w:t>
            </w: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780" w:type="dxa"/>
            <w:vAlign w:val="bottom"/>
          </w:tcPr>
          <w:p>
            <w:pPr>
              <w:spacing w:after="0"/>
              <w:rPr>
                <w:sz w:val="24"/>
                <w:szCs w:val="24"/>
                <w:color w:val="auto"/>
              </w:rPr>
            </w:pPr>
          </w:p>
        </w:tc>
        <w:tc>
          <w:tcPr>
            <w:tcW w:w="7460" w:type="dxa"/>
            <w:vAlign w:val="bottom"/>
          </w:tcPr>
          <w:p>
            <w:pPr>
              <w:ind w:left="6460"/>
              <w:spacing w:after="0"/>
              <w:rPr>
                <w:sz w:val="20"/>
                <w:szCs w:val="20"/>
                <w:color w:val="auto"/>
              </w:rPr>
            </w:pPr>
            <w:r>
              <w:rPr>
                <w:rFonts w:ascii="Times New Roman" w:cs="Times New Roman" w:eastAsia="Times New Roman" w:hAnsi="Times New Roman"/>
                <w:sz w:val="22"/>
                <w:szCs w:val="22"/>
                <w:b w:val="1"/>
                <w:bCs w:val="1"/>
                <w:color w:val="auto"/>
                <w:w w:val="95"/>
              </w:rPr>
              <w:t>Exhibit 1.1</w:t>
            </w:r>
          </w:p>
        </w:tc>
      </w:tr>
      <w:tr>
        <w:trPr>
          <w:trHeight w:val="447"/>
        </w:trPr>
        <w:tc>
          <w:tcPr>
            <w:tcW w:w="3780" w:type="dxa"/>
            <w:vAlign w:val="bottom"/>
          </w:tcPr>
          <w:p>
            <w:pPr>
              <w:spacing w:after="0"/>
              <w:rPr>
                <w:sz w:val="24"/>
                <w:szCs w:val="24"/>
                <w:color w:val="auto"/>
              </w:rPr>
            </w:pPr>
          </w:p>
        </w:tc>
        <w:tc>
          <w:tcPr>
            <w:tcW w:w="7460" w:type="dxa"/>
            <w:vAlign w:val="bottom"/>
          </w:tcPr>
          <w:p>
            <w:pPr>
              <w:jc w:val="center"/>
              <w:ind w:right="3687"/>
              <w:spacing w:after="0"/>
              <w:rPr>
                <w:sz w:val="20"/>
                <w:szCs w:val="20"/>
                <w:color w:val="auto"/>
              </w:rPr>
            </w:pPr>
            <w:r>
              <w:rPr>
                <w:rFonts w:ascii="Times New Roman" w:cs="Times New Roman" w:eastAsia="Times New Roman" w:hAnsi="Times New Roman"/>
                <w:sz w:val="18"/>
                <w:szCs w:val="18"/>
                <w:color w:val="auto"/>
                <w:w w:val="99"/>
              </w:rPr>
              <w:t>TRINITY CAPITAL INC.</w:t>
            </w:r>
          </w:p>
        </w:tc>
      </w:tr>
      <w:tr>
        <w:trPr>
          <w:trHeight w:val="414"/>
        </w:trPr>
        <w:tc>
          <w:tcPr>
            <w:tcW w:w="3780" w:type="dxa"/>
            <w:vAlign w:val="bottom"/>
          </w:tcPr>
          <w:p>
            <w:pPr>
              <w:spacing w:after="0"/>
              <w:rPr>
                <w:sz w:val="24"/>
                <w:szCs w:val="24"/>
                <w:color w:val="auto"/>
              </w:rPr>
            </w:pPr>
          </w:p>
        </w:tc>
        <w:tc>
          <w:tcPr>
            <w:tcW w:w="7460" w:type="dxa"/>
            <w:vAlign w:val="bottom"/>
          </w:tcPr>
          <w:p>
            <w:pPr>
              <w:jc w:val="center"/>
              <w:ind w:right="3687"/>
              <w:spacing w:after="0"/>
              <w:rPr>
                <w:sz w:val="20"/>
                <w:szCs w:val="20"/>
                <w:color w:val="auto"/>
              </w:rPr>
            </w:pPr>
            <w:r>
              <w:rPr>
                <w:rFonts w:ascii="Times New Roman" w:cs="Times New Roman" w:eastAsia="Times New Roman" w:hAnsi="Times New Roman"/>
                <w:sz w:val="18"/>
                <w:szCs w:val="18"/>
                <w:color w:val="auto"/>
              </w:rPr>
              <w:t>$300,000,000</w:t>
            </w:r>
          </w:p>
        </w:tc>
      </w:tr>
      <w:tr>
        <w:trPr>
          <w:trHeight w:val="216"/>
        </w:trPr>
        <w:tc>
          <w:tcPr>
            <w:tcW w:w="3780" w:type="dxa"/>
            <w:vAlign w:val="bottom"/>
          </w:tcPr>
          <w:p>
            <w:pPr>
              <w:spacing w:after="0"/>
              <w:rPr>
                <w:sz w:val="18"/>
                <w:szCs w:val="18"/>
                <w:color w:val="auto"/>
              </w:rPr>
            </w:pPr>
          </w:p>
        </w:tc>
        <w:tc>
          <w:tcPr>
            <w:tcW w:w="7460" w:type="dxa"/>
            <w:vAlign w:val="bottom"/>
          </w:tcPr>
          <w:p>
            <w:pPr>
              <w:jc w:val="center"/>
              <w:ind w:right="3687"/>
              <w:spacing w:after="0"/>
              <w:rPr>
                <w:sz w:val="20"/>
                <w:szCs w:val="20"/>
                <w:color w:val="auto"/>
              </w:rPr>
            </w:pPr>
            <w:r>
              <w:rPr>
                <w:rFonts w:ascii="Times New Roman" w:cs="Times New Roman" w:eastAsia="Times New Roman" w:hAnsi="Times New Roman"/>
                <w:sz w:val="18"/>
                <w:szCs w:val="18"/>
                <w:color w:val="auto"/>
                <w:w w:val="99"/>
              </w:rPr>
              <w:t>7.000% Notes due 2031</w:t>
            </w:r>
          </w:p>
        </w:tc>
      </w:tr>
      <w:tr>
        <w:trPr>
          <w:trHeight w:val="234"/>
        </w:trPr>
        <w:tc>
          <w:tcPr>
            <w:tcW w:w="3780" w:type="dxa"/>
            <w:vAlign w:val="bottom"/>
          </w:tcPr>
          <w:p>
            <w:pPr>
              <w:spacing w:after="0"/>
              <w:rPr>
                <w:sz w:val="20"/>
                <w:szCs w:val="20"/>
                <w:color w:val="auto"/>
              </w:rPr>
            </w:pPr>
          </w:p>
        </w:tc>
        <w:tc>
          <w:tcPr>
            <w:tcW w:w="7460" w:type="dxa"/>
            <w:vAlign w:val="bottom"/>
          </w:tcPr>
          <w:p>
            <w:pPr>
              <w:jc w:val="center"/>
              <w:ind w:right="3687"/>
              <w:spacing w:after="0"/>
              <w:rPr>
                <w:sz w:val="20"/>
                <w:szCs w:val="20"/>
                <w:color w:val="auto"/>
              </w:rPr>
            </w:pPr>
            <w:r>
              <w:rPr>
                <w:rFonts w:ascii="Times New Roman" w:cs="Times New Roman" w:eastAsia="Times New Roman" w:hAnsi="Times New Roman"/>
                <w:sz w:val="18"/>
                <w:szCs w:val="18"/>
                <w:color w:val="auto"/>
                <w:w w:val="99"/>
              </w:rPr>
              <w:t>Underwriting Agreement</w:t>
            </w:r>
          </w:p>
        </w:tc>
      </w:tr>
      <w:tr>
        <w:trPr>
          <w:trHeight w:val="41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7460" w:type="dxa"/>
            <w:vAlign w:val="bottom"/>
          </w:tcPr>
          <w:p>
            <w:pPr>
              <w:ind w:left="6460"/>
              <w:spacing w:after="0"/>
              <w:rPr>
                <w:sz w:val="20"/>
                <w:szCs w:val="20"/>
                <w:color w:val="auto"/>
              </w:rPr>
            </w:pPr>
            <w:r>
              <w:rPr>
                <w:rFonts w:ascii="Times New Roman" w:cs="Times New Roman" w:eastAsia="Times New Roman" w:hAnsi="Times New Roman"/>
                <w:sz w:val="18"/>
                <w:szCs w:val="18"/>
                <w:color w:val="auto"/>
                <w:w w:val="97"/>
              </w:rPr>
              <w:t>May 19, 2026</w:t>
            </w: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7460" w:type="dxa"/>
            <w:vAlign w:val="bottom"/>
          </w:tcPr>
          <w:p>
            <w:pPr>
              <w:spacing w:after="0"/>
              <w:rPr>
                <w:sz w:val="20"/>
                <w:szCs w:val="20"/>
                <w:color w:val="auto"/>
              </w:rPr>
            </w:pPr>
          </w:p>
        </w:tc>
      </w:tr>
      <w:tr>
        <w:trPr>
          <w:trHeight w:val="41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As the Representatives of the</w:t>
            </w:r>
          </w:p>
        </w:tc>
        <w:tc>
          <w:tcPr>
            <w:tcW w:w="7460" w:type="dxa"/>
            <w:vAlign w:val="bottom"/>
          </w:tcPr>
          <w:p>
            <w:pPr>
              <w:spacing w:after="0"/>
              <w:rPr>
                <w:sz w:val="24"/>
                <w:szCs w:val="24"/>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several Underwriters listed</w:t>
            </w:r>
          </w:p>
        </w:tc>
        <w:tc>
          <w:tcPr>
            <w:tcW w:w="746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 Schedule 1 hereto</w:t>
            </w:r>
          </w:p>
        </w:tc>
        <w:tc>
          <w:tcPr>
            <w:tcW w:w="7460" w:type="dxa"/>
            <w:vAlign w:val="bottom"/>
          </w:tcPr>
          <w:p>
            <w:pPr>
              <w:spacing w:after="0"/>
              <w:rPr>
                <w:sz w:val="20"/>
                <w:szCs w:val="20"/>
                <w:color w:val="auto"/>
              </w:rPr>
            </w:pPr>
          </w:p>
        </w:tc>
      </w:tr>
      <w:tr>
        <w:trPr>
          <w:trHeight w:val="41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 Keefe, Bruyette &amp; Woods, Inc.</w:t>
            </w:r>
          </w:p>
        </w:tc>
        <w:tc>
          <w:tcPr>
            <w:tcW w:w="7460" w:type="dxa"/>
            <w:vAlign w:val="bottom"/>
          </w:tcPr>
          <w:p>
            <w:pPr>
              <w:spacing w:after="0"/>
              <w:rPr>
                <w:sz w:val="24"/>
                <w:szCs w:val="24"/>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787 Seventh Avenue, Fourth Floor</w:t>
            </w:r>
          </w:p>
        </w:tc>
        <w:tc>
          <w:tcPr>
            <w:tcW w:w="746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10019</w:t>
            </w:r>
          </w:p>
        </w:tc>
        <w:tc>
          <w:tcPr>
            <w:tcW w:w="7460" w:type="dxa"/>
            <w:vAlign w:val="bottom"/>
          </w:tcPr>
          <w:p>
            <w:pPr>
              <w:spacing w:after="0"/>
              <w:rPr>
                <w:sz w:val="20"/>
                <w:szCs w:val="20"/>
                <w:color w:val="auto"/>
              </w:rPr>
            </w:pPr>
          </w:p>
        </w:tc>
      </w:tr>
      <w:tr>
        <w:trPr>
          <w:trHeight w:val="417"/>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 MUFG Securities Americas Inc.</w:t>
            </w:r>
          </w:p>
        </w:tc>
        <w:tc>
          <w:tcPr>
            <w:tcW w:w="7460" w:type="dxa"/>
            <w:vAlign w:val="bottom"/>
          </w:tcPr>
          <w:p>
            <w:pPr>
              <w:spacing w:after="0"/>
              <w:rPr>
                <w:sz w:val="24"/>
                <w:szCs w:val="24"/>
                <w:color w:val="auto"/>
              </w:rPr>
            </w:pPr>
          </w:p>
        </w:tc>
      </w:tr>
      <w:tr>
        <w:trPr>
          <w:trHeight w:val="253"/>
        </w:trPr>
        <w:tc>
          <w:tcPr>
            <w:tcW w:w="3780" w:type="dxa"/>
            <w:vAlign w:val="bottom"/>
          </w:tcPr>
          <w:p>
            <w:pPr>
              <w:spacing w:after="0" w:line="252" w:lineRule="exact"/>
              <w:rPr>
                <w:sz w:val="20"/>
                <w:szCs w:val="20"/>
                <w:color w:val="auto"/>
              </w:rPr>
            </w:pPr>
            <w:r>
              <w:rPr>
                <w:rFonts w:ascii="Times New Roman" w:cs="Times New Roman" w:eastAsia="Times New Roman" w:hAnsi="Times New Roman"/>
                <w:sz w:val="18"/>
                <w:szCs w:val="18"/>
                <w:color w:val="auto"/>
              </w:rPr>
              <w:t>1221 Avenue of the Americas,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c>
          <w:tcPr>
            <w:tcW w:w="7460" w:type="dxa"/>
            <w:vAlign w:val="bottom"/>
          </w:tcPr>
          <w:p>
            <w:pPr>
              <w:spacing w:after="0"/>
              <w:rPr>
                <w:sz w:val="21"/>
                <w:szCs w:val="2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10020</w:t>
            </w:r>
          </w:p>
        </w:tc>
        <w:tc>
          <w:tcPr>
            <w:tcW w:w="7460" w:type="dxa"/>
            <w:vAlign w:val="bottom"/>
          </w:tcPr>
          <w:p>
            <w:pPr>
              <w:spacing w:after="0"/>
              <w:rPr>
                <w:sz w:val="20"/>
                <w:szCs w:val="20"/>
                <w:color w:val="auto"/>
              </w:rPr>
            </w:pPr>
          </w:p>
        </w:tc>
      </w:tr>
      <w:tr>
        <w:trPr>
          <w:trHeight w:val="432"/>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Ladies and Gentlemen:</w:t>
            </w:r>
          </w:p>
        </w:tc>
        <w:tc>
          <w:tcPr>
            <w:tcW w:w="746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Trinity Capital Inc., a Maryland corporation (the “Company”), proposes, subject to the terms and conditions stated herein, to issue and sell to the several Underwriters listed in Schedule 1 hereto (collectively, the “Underwriters,” which term shall also include any underwriter substituted as hereinafter provided in Section 11 hereof), for whom Keefe, Bruyette &amp; Woods, Inc. (“KBW”) and MUFG Securities Americas Inc. (“MUFG”) are acting as representatives (in such capacity, the “Representatives”), $300,000,000 aggregate principal amount of 7.000% Notes due 2031 of the Company (the “Securities”).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Securities will be issued under an indenture, dated as of January 16, 2020 (the “Base Indenture”), as supplemented by the Eighth Supplemental Indenture, dated as of the Closing Date (as defined below) (the “Eighth Supplemental Indenture” and, together with the Base Indenture, the “Indenture”), between the Company and U.S. Bank Trust Company, National Association, as trustee (the “Trustee”). The Securities will be issued in book-entry form to Cede &amp; Co. as nominee of the Depository Trust Company (“DTC”) pursuant to a blanket letter of representations, dated as of March 26, 2024, between the Company and DTC.</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Underwriters propose to make an offering of the Securities as soon as the Representatives deem advisable after this underwriting agreement (this “Agreement”) has been executed and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color w:val="auto"/>
        </w:rPr>
        <w:t>The Company hereby confirms its agreement with the several Underwriters concerning the purchase and sale of the Securities, as follows:</w:t>
      </w:r>
    </w:p>
    <w:p>
      <w:pPr>
        <w:spacing w:after="0" w:line="225" w:lineRule="exact"/>
        <w:rPr>
          <w:sz w:val="20"/>
          <w:szCs w:val="20"/>
          <w:color w:val="auto"/>
        </w:rPr>
      </w:pPr>
    </w:p>
    <w:p>
      <w:pPr>
        <w:jc w:val="both"/>
        <w:ind w:left="980" w:hanging="324"/>
        <w:spacing w:after="0" w:line="25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Securities and Exchange Commission (the “Commission”) under the Securities Act of 1933, as amended, and the rules and regulations of the Commission thereunder (collectively, the “Securities Act”), a “shelf registration statement” on Form N-2 (File No. 333-289495), relating to the Securities and certain of the Company’s other securities, which registration statement became effective upon filing with the Commission on August 11, 2025. The Company has also prepared and filed with the Commission a preliminary prospectus supplement dated May 19, 2026 (the “Preliminary Prospectus Supplement”), which contains a base prospectus, dated August 11, 2025 (the “Base Prospectus,” and together with the Preliminary Prospectus Supplement, the “Preliminary Prospectus”). Promptly after execution and delivery of this Agreement, the Company will prepare and file a prospectus in accordance with the provisions of Rule 430B (“Rule 430B”) promulgated under the Securities Act and Rule 424 (“Rule 424”) promulgated under the Securities Act. The information, if any, included or incorporated by reference in such prospectus that was omitted from such registration statement at the time it became effective but that is deemed to be part of such registration statement pursuant to Rule 430B is referred to as “Rule 430B Information.” Unless the context otherwise requires, such registration statement, including all documents filed as a part thereof and any Rule 430B Information contained in a prospectus subsequently filed with the Commission pursuant to Rule 424 under the Securities Act and deemed to be part of the registration statement and also including any registration statement filed pursuant to Rule 462(b) promulgated under the Securities Act (the “Rule 462(b) Registration Statement”), is herein called the “Registration Statement.” The final prospectus to be filed with the Commission pursuant to Rule 424 after the Applicable Time (as defined below) and to be used to confirm sales, which will include the Base Prospectus together with a final prospectus supplement (the “Prospectus Supplement”), is hereinafter referred to as the “Prospectus.” Any reference herein to the Registration Statement, the Preliminary Prospectus and the Prospectus shall be deemed to refer to and include all documents incorporated by reference pursuant to the rules of the Commission promulgated under the Securities Act. All references in this Agreement to amendments or supplements to the Registration Statement or the Prospectus, including those made pursuant to Rule 424 under the Securities Act or such other rule under the Securities Act as may be applicable to the Company, shall be deemed to mean and include, without limitation, the filing of any document under the Securities Exchange Act of 1934, as amended (the “Exchange Act”) which is or is deemed to be incorporated by reference in or otherwise deemed under the rules of the Commission promulgated thereunder or otherwise to be a part of or included in the Registration Statement or the Prospectus, as the case may be, as of any specified date.</w:t>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Form N-54A Notification of Election to be Subject to Sections 55 through 65 of the Investment Company Act of 1940, as amended, and the rules and regulations of the Commission thereunder (collectively, the “Investment Company Act”) filed pursuant to Section 54(a) of the Investment Company Act (File No. 814-01341) was filed under the Investment Company Act with the Commission on January 16, 2020.</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or prior to the Applicable Time, the Company had prepared the Preliminary Prospectus, which together with the information set forth on Schedule 2 hereto, comprises the “Pricing Disclosure Package.”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“Applicable Time” means 4:20 P.M., New York City time, on May 19, 2026.</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“Testing-the-Waters Communication” means any oral or written communication with potential investors undertaken in reliance on Section 5(d) of the Securities Act.</w:t>
      </w:r>
    </w:p>
    <w:p>
      <w:pPr>
        <w:spacing w:after="0" w:line="162"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the Securities by the Underwriters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980"/>
        <w:spacing w:after="0" w:line="255" w:lineRule="auto"/>
        <w:tabs>
          <w:tab w:leader="none" w:pos="123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The Company agrees to issue and sell the Securities to the several Underwriters as provided in this Agreement, and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on the basis of the representations, warranties, and agreements set forth herein and subject to the conditions set forth herein, agrees, severally and not jointly, to purchase from the Company the respective aggregate principal amount of Securities set forth opposite such Underwriter’s name in Schedule 1 hereto at the price (the “Purchase Price”) set forth in Schedule 1 hereto. Payment for the Securities shall be made by wire transfer in immediately available funds to the account specified by the Company to the Representatives, at the offices of Ropes &amp; Gray LLP, 1211 Avenue of the Americas, New York, NY 10036, at 10:00 A.M., New York City time, on May 21, 2026, or at such other time or place on the same or such other date, not later than the third business day thereafter, as the Representatives and the Company may agree upon in writing. The time and date of such payment for the Securities is referred to herein as the “Closing Date.”</w:t>
      </w:r>
    </w:p>
    <w:p>
      <w:pPr>
        <w:spacing w:after="0" w:line="1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Payment for the Securities shall be made against delivery to the Representatives for the respective accounts of the several Underwriters of the principal amount of Securities to be purchased on such date with any transfer taxes payable in connection with the sale of such Securities duly paid by the Company. Delivery of the Securities shall be made through the facilities of DTC unless the Representatives shall otherwise instruct.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left="-656" w:firstLine="980"/>
        <w:spacing w:after="0" w:line="266" w:lineRule="auto"/>
        <w:tabs>
          <w:tab w:leader="none" w:pos="58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the Underwriters intend to offer the Securities for resale on the terms set forth in the Pricing Disclosure Package and the Prospectus, as in the judgment of the Representatives is advisable. The Company acknowledges and agrees that the Underwriters may offer and sell Securities to or through any affiliate of an Underwriter.</w:t>
      </w:r>
    </w:p>
    <w:p>
      <w:pPr>
        <w:spacing w:after="0" w:line="175" w:lineRule="exact"/>
        <w:rPr>
          <w:rFonts w:ascii="Times New Roman" w:cs="Times New Roman" w:eastAsia="Times New Roman" w:hAnsi="Times New Roman"/>
          <w:sz w:val="18"/>
          <w:szCs w:val="18"/>
          <w:color w:val="auto"/>
        </w:rPr>
      </w:pPr>
    </w:p>
    <w:p>
      <w:pPr>
        <w:jc w:val="both"/>
        <w:ind w:left="-656" w:firstLine="980"/>
        <w:spacing w:after="0" w:line="253" w:lineRule="auto"/>
        <w:tabs>
          <w:tab w:leader="none" w:pos="58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(1) the Underwriters are acting solely as principal and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(2) the Underwriters have no obligation to the Company with respect to the transactions contemplated by this Agreement except the obligations expressly set forth in this Agreement and (3) it is capable of evaluating and understanding, and understands and accepts, the terms, risks and conditions of the transactions contemplated hereby.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The Company acknowledges and agrees that it is aware that the Underwriters and their affiliates are engaged in a broad range of transactions which may involve interests that differ from those of the Company and that the Underwriters have no obligation to disclose such interests and transactions to the Company by virtue of any fiduciary, advisory or agency relationship or otherwise.</w:t>
      </w:r>
    </w:p>
    <w:p>
      <w:pPr>
        <w:spacing w:after="0" w:line="191" w:lineRule="exact"/>
        <w:rPr>
          <w:rFonts w:ascii="Times New Roman" w:cs="Times New Roman" w:eastAsia="Times New Roman" w:hAnsi="Times New Roman"/>
          <w:sz w:val="18"/>
          <w:szCs w:val="18"/>
          <w:color w:val="auto"/>
        </w:rPr>
      </w:pPr>
    </w:p>
    <w:p>
      <w:pPr>
        <w:ind w:left="-656" w:firstLine="656"/>
        <w:spacing w:after="0" w:line="282" w:lineRule="auto"/>
        <w:tabs>
          <w:tab w:leader="none" w:pos="1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hereby represents and warrants to each Underwriter, as of the date of this Agreement and the Closing Date, and agrees with each Underwriter that:</w:t>
      </w:r>
    </w:p>
    <w:p>
      <w:pPr>
        <w:spacing w:after="0" w:line="159" w:lineRule="exact"/>
        <w:rPr>
          <w:rFonts w:ascii="Times New Roman" w:cs="Times New Roman" w:eastAsia="Times New Roman" w:hAnsi="Times New Roman"/>
          <w:sz w:val="18"/>
          <w:szCs w:val="18"/>
          <w:color w:val="auto"/>
        </w:rPr>
      </w:pPr>
    </w:p>
    <w:p>
      <w:pPr>
        <w:jc w:val="both"/>
        <w:ind w:left="-656" w:firstLine="980"/>
        <w:spacing w:after="0" w:line="255" w:lineRule="auto"/>
        <w:tabs>
          <w:tab w:leader="none" w:pos="5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Prospectus. </w:t>
      </w:r>
      <w:r>
        <w:rPr>
          <w:rFonts w:ascii="Times New Roman" w:cs="Times New Roman" w:eastAsia="Times New Roman" w:hAnsi="Times New Roman"/>
          <w:sz w:val="18"/>
          <w:szCs w:val="18"/>
          <w:color w:val="auto"/>
        </w:rPr>
        <w:t>No order preventing or suspending the use of the Preliminary Prospectus has been issued by the Commission,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Preliminary Prospectus included in the Pricing Disclosure Package,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8(b) hereof;</w:t>
      </w:r>
    </w:p>
    <w:p>
      <w:pPr>
        <w:spacing w:after="0" w:line="184" w:lineRule="exact"/>
        <w:rPr>
          <w:rFonts w:ascii="Times New Roman" w:cs="Times New Roman" w:eastAsia="Times New Roman" w:hAnsi="Times New Roman"/>
          <w:sz w:val="18"/>
          <w:szCs w:val="18"/>
          <w:color w:val="auto"/>
        </w:rPr>
      </w:pPr>
    </w:p>
    <w:p>
      <w:pPr>
        <w:jc w:val="both"/>
        <w:ind w:left="-656" w:firstLine="980"/>
        <w:spacing w:after="0" w:line="256" w:lineRule="auto"/>
        <w:tabs>
          <w:tab w:leader="none" w:pos="5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Pricing Disclosure Package. </w:t>
      </w:r>
      <w:r>
        <w:rPr>
          <w:rFonts w:ascii="Times New Roman" w:cs="Times New Roman" w:eastAsia="Times New Roman" w:hAnsi="Times New Roman"/>
          <w:sz w:val="18"/>
          <w:szCs w:val="18"/>
          <w:color w:val="auto"/>
        </w:rPr>
        <w:t>The Pricing Disclosure Package as of the Applicable Time did not, and the Pricing Disclosure Package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(together with any amendment or supplement thereto) as of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8(b)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420370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 w:name="page8"/>
    <w:bookmarkEnd w:id="7"/>
    <w:p>
      <w:pPr>
        <w:jc w:val="both"/>
        <w:ind w:left="-980" w:firstLine="980"/>
        <w:spacing w:after="0" w:line="252" w:lineRule="auto"/>
        <w:tabs>
          <w:tab w:leader="none" w:pos="2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w:t>
      </w:r>
      <w:r>
        <w:rPr>
          <w:rFonts w:ascii="Times New Roman" w:cs="Times New Roman" w:eastAsia="Times New Roman" w:hAnsi="Times New Roman"/>
          <w:sz w:val="18"/>
          <w:szCs w:val="18"/>
          <w:color w:val="auto"/>
        </w:rPr>
        <w:t>. The Company (including its agents and representatives, other than the Underwriters in their capacity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has not prepared, made, used, authorized, 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clauses (i), (ii) and (iii) below) an “Issuer Free Writing Prospectus”) other than (i) the Registration Statement, (ii) the Preliminary Prospectus, (iii) the Prospectus, (iv) the documents listed on Schedule 2 hereto, including a Pricing Term Sheet substantially in the form of Annex A hereto, and (v) any electronic road show or other written communications, in each case approved in writing in advance by the Representatives. Each such Issuer Free Writing Prospectus, if any, complies in all material respects with the Securities Act, has been or will be (within the time period specified in Rule 433) filed in accordance with the Securities Act (to the extent required thereby) and, when taken together with the Preliminary Prospectus filed prior to the first use of such Issuer Free Writing Prospectus, at the Applicable Time,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Company makes no representation or warranty with respect to any statement or omission contained in any Issuer Free Writing Prospectus made in reliance upon and in conformity with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Section 8(b) hereof;</w:t>
      </w:r>
    </w:p>
    <w:p>
      <w:pPr>
        <w:spacing w:after="0" w:line="195" w:lineRule="exact"/>
        <w:rPr>
          <w:rFonts w:ascii="Times New Roman" w:cs="Times New Roman" w:eastAsia="Times New Roman" w:hAnsi="Times New Roman"/>
          <w:sz w:val="18"/>
          <w:szCs w:val="18"/>
          <w:color w:val="auto"/>
        </w:rPr>
      </w:pPr>
    </w:p>
    <w:p>
      <w:pPr>
        <w:jc w:val="both"/>
        <w:ind w:left="-980" w:right="20" w:firstLine="980"/>
        <w:spacing w:after="0" w:line="267" w:lineRule="auto"/>
        <w:tabs>
          <w:tab w:leader="none" w:pos="2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Investor Presentation. </w:t>
      </w:r>
      <w:r>
        <w:rPr>
          <w:rFonts w:ascii="Times New Roman" w:cs="Times New Roman" w:eastAsia="Times New Roman" w:hAnsi="Times New Roman"/>
          <w:sz w:val="18"/>
          <w:szCs w:val="18"/>
          <w:color w:val="auto"/>
        </w:rPr>
        <w:t>Any investor presentation or “road show” presentation undertaken in connection with the marketing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as of the Applicable Time did not, and as of the Closing Date, will not, contain any untrue statement of a material fact or omit to state a material fact necessary in order to make the statements therein, in the light of the circumstances under which they were made, not misleading;</w:t>
      </w:r>
    </w:p>
    <w:p>
      <w:pPr>
        <w:spacing w:after="0" w:line="173" w:lineRule="exact"/>
        <w:rPr>
          <w:rFonts w:ascii="Times New Roman" w:cs="Times New Roman" w:eastAsia="Times New Roman" w:hAnsi="Times New Roman"/>
          <w:sz w:val="18"/>
          <w:szCs w:val="18"/>
          <w:color w:val="auto"/>
        </w:rPr>
      </w:pPr>
    </w:p>
    <w:p>
      <w:pPr>
        <w:jc w:val="both"/>
        <w:ind w:left="-980" w:firstLine="980"/>
        <w:spacing w:after="0" w:line="255" w:lineRule="auto"/>
        <w:tabs>
          <w:tab w:leader="none" w:pos="2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Documents Incorporated by Reference. </w:t>
      </w:r>
      <w:r>
        <w:rPr>
          <w:rFonts w:ascii="Times New Roman" w:cs="Times New Roman" w:eastAsia="Times New Roman" w:hAnsi="Times New Roman"/>
          <w:sz w:val="18"/>
          <w:szCs w:val="18"/>
          <w:color w:val="auto"/>
        </w:rPr>
        <w:t>The documents incorporated by reference in each of the Registration Statement, the Prospectus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Preliminary Prospectus, when they became effective or were filed with the Commission, as the case may be,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Preliminary Prospectus, when such documents become effective or are filed with the Commission, as the case may be, will conform in all material respects to the requirements of the Securities Act or the Exchange Act, as applicable, and will not contain any untrue statement of a material fact or omit to state a material fact necessary to make the statements therein, in the light of the circumstances under which they were made, not misleading;</w:t>
      </w:r>
    </w:p>
    <w:p>
      <w:pPr>
        <w:spacing w:after="0" w:line="184" w:lineRule="exact"/>
        <w:rPr>
          <w:rFonts w:ascii="Times New Roman" w:cs="Times New Roman" w:eastAsia="Times New Roman" w:hAnsi="Times New Roman"/>
          <w:sz w:val="18"/>
          <w:szCs w:val="18"/>
          <w:color w:val="auto"/>
        </w:rPr>
      </w:pPr>
    </w:p>
    <w:p>
      <w:pPr>
        <w:ind w:left="-980" w:firstLine="980"/>
        <w:spacing w:after="0" w:line="284" w:lineRule="auto"/>
        <w:tabs>
          <w:tab w:leader="none" w:pos="2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Testing-the-Waters Materials. </w:t>
      </w:r>
      <w:r>
        <w:rPr>
          <w:rFonts w:ascii="Times New Roman" w:cs="Times New Roman" w:eastAsia="Times New Roman" w:hAnsi="Times New Roman"/>
          <w:sz w:val="18"/>
          <w:szCs w:val="18"/>
          <w:color w:val="auto"/>
        </w:rPr>
        <w:t>The Company (i) has not alone engaged in any Testing-the-Waters Communications and (ii) has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anyone to engage in Testing-the-Waters Communications;</w:t>
      </w:r>
    </w:p>
    <w:p>
      <w:pPr>
        <w:spacing w:after="0" w:line="158" w:lineRule="exact"/>
        <w:rPr>
          <w:rFonts w:ascii="Times New Roman" w:cs="Times New Roman" w:eastAsia="Times New Roman" w:hAnsi="Times New Roman"/>
          <w:sz w:val="18"/>
          <w:szCs w:val="18"/>
          <w:color w:val="auto"/>
        </w:rPr>
      </w:pPr>
    </w:p>
    <w:p>
      <w:pPr>
        <w:jc w:val="both"/>
        <w:ind w:left="-980" w:firstLine="980"/>
        <w:spacing w:after="0" w:line="252" w:lineRule="auto"/>
        <w:tabs>
          <w:tab w:leader="none" w:pos="2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and Prospectus. </w:t>
      </w:r>
      <w:r>
        <w:rPr>
          <w:rFonts w:ascii="Times New Roman" w:cs="Times New Roman" w:eastAsia="Times New Roman" w:hAnsi="Times New Roman"/>
          <w:sz w:val="18"/>
          <w:szCs w:val="18"/>
          <w:color w:val="auto"/>
        </w:rPr>
        <w:t>The Company is eligible to use Form N-2 under the Securities Act, and the 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has been declared effective by the Commission. No order suspending the effectiveness of the Registration Statement has been issued by the Commission, and, to the knowledge of the Company, no proceeding for that purpose or pursuant to Section 8A of the Securities Act against the Company or related to the offering of the Securities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the applicable rules and regulations of the Commission thereunder, the Investment Company Act and the Trust Indenture Act of 1939, as amended (the “TIA”),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and any amendment or supplement thereto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(i) that part of the Registration Statement that constitutes the Statement of Eligibility and Qualification (Form T-1) of the Trustee under the TIA or (ii)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8(b)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428625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2" w:right="339" w:bottom="1440" w:gutter="0" w:footer="0" w:header="0"/>
        </w:sectPr>
      </w:pPr>
    </w:p>
    <w:bookmarkStart w:id="8" w:name="page9"/>
    <w:bookmarkEnd w:id="8"/>
    <w:p>
      <w:pPr>
        <w:jc w:val="both"/>
        <w:ind w:left="-980" w:firstLine="980"/>
        <w:spacing w:after="0" w:line="253" w:lineRule="auto"/>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financial statements of the Company, including the notes and schedules thereto, included or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 the Registration Statement, the Pricing Disclosure Package and the Prospectus (i) present fairly in all material respects the financial condition of the Company and its Subsidiaries (as defined below) as of the respective dates thereof, and the results of operations and statements of cash flows for the periods specified, (ii) correctly reflect and disclose all extraordinary items, and (iii) have been prepared in conformity with United States generally accepted accounting principles (“GAAP”) applied on a consistent basis; the financial information included or incorporated by reference in the Registration Statement, the Pricing Disclosure Package and the Prospectus have been derived from the accounting records and other books and records of the Company and the Subsidiaries and presents fairly in all material respects the information shown thereby as of the date presented and has been compiled on a basis consistent with that of the audited financial statements included or incorporated by reference therein. The financial data set forth in the Registration Statement, Pricing Disclosure Package and in the Prospectus under the heading “Capitalization” presents fairly in all material respects the information set forth therein on a basis consistent with that of the audited financial statements and related notes thereto included or incorporated by reference therein. There is no pro forma financial information that is required to be included or incorporated by reference in the Registration Statement, the Pricing Disclosure Package and the Prospectus that is not included or incorporated by reference as required;</w:t>
      </w:r>
    </w:p>
    <w:p>
      <w:pPr>
        <w:spacing w:after="0" w:line="189" w:lineRule="exact"/>
        <w:rPr>
          <w:rFonts w:ascii="Times New Roman" w:cs="Times New Roman" w:eastAsia="Times New Roman" w:hAnsi="Times New Roman"/>
          <w:sz w:val="18"/>
          <w:szCs w:val="18"/>
          <w:color w:val="auto"/>
        </w:rPr>
      </w:pPr>
    </w:p>
    <w:p>
      <w:pPr>
        <w:jc w:val="both"/>
        <w:ind w:left="-980" w:firstLine="980"/>
        <w:spacing w:after="0" w:line="254" w:lineRule="auto"/>
        <w:tabs>
          <w:tab w:leader="none" w:pos="20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Change</w:t>
      </w:r>
      <w:r>
        <w:rPr>
          <w:rFonts w:ascii="Times New Roman" w:cs="Times New Roman" w:eastAsia="Times New Roman" w:hAnsi="Times New Roman"/>
          <w:sz w:val="18"/>
          <w:szCs w:val="18"/>
          <w:color w:val="auto"/>
        </w:rPr>
        <w:t>. Subsequent to the date of the Preliminary Prospectus Supplement, and except as may be otherwise disclosed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Registration Statement, the Pricing Disclosure Package and the Prospectus, there has not been (i) any event, circumstance or change in circumstance that, individually or in the aggregate, has or would reasonably be expected to have, individually or in the aggregate, a material adverse effect on the business, condition (financial or otherwise), management, properties, net assets, results of operations or prospects of the Company and the Subsidiaries, taken as a whole, whether or not arising in the ordinary course of business (a “Material Adverse Effect”), (ii) any transaction, other than in the ordinary course of business, contemplated in any substantive manner or entered into by the Company or any Subsidiary, (iii) any obligation, contingent or otherwise, directly or indirectly incurred by the Company or any Subsidiary, other than in the ordinary course of business, (iv) any dividend or distribution of any kind declared, paid or made by the Company or any Subsidiary on any class of its equity securities, or any purchase by the Company or any Subsidiary of any of its outstanding equity securities, or (v) any change of the equity securities or indebtedness of the Company or any Subsidiary;</w:t>
      </w:r>
    </w:p>
    <w:p>
      <w:pPr>
        <w:spacing w:after="0" w:line="188" w:lineRule="exact"/>
        <w:rPr>
          <w:rFonts w:ascii="Times New Roman" w:cs="Times New Roman" w:eastAsia="Times New Roman" w:hAnsi="Times New Roman"/>
          <w:sz w:val="18"/>
          <w:szCs w:val="18"/>
          <w:color w:val="auto"/>
        </w:rPr>
      </w:pPr>
    </w:p>
    <w:p>
      <w:pPr>
        <w:jc w:val="both"/>
        <w:ind w:left="-980" w:firstLine="980"/>
        <w:spacing w:after="0" w:line="261" w:lineRule="auto"/>
        <w:tabs>
          <w:tab w:leader="none" w:pos="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Organization, Good Standing and Due Authorization</w:t>
      </w:r>
      <w:r>
        <w:rPr>
          <w:rFonts w:ascii="Times New Roman" w:cs="Times New Roman" w:eastAsia="Times New Roman" w:hAnsi="Times New Roman"/>
          <w:sz w:val="18"/>
          <w:szCs w:val="18"/>
          <w:color w:val="auto"/>
        </w:rPr>
        <w:t>. The Company is a corporation duly incorporated and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 State of Maryland, with requisite corporate power and authority to (i) own, lease or operate its properties and conduct its business as described in the Registration Statement, the Pricing Disclosure Package and the Prospectus; and (ii) execute and deliver this Agreement, and consummate the transactions contemplated hereby (including the sale, issuance, and delivery of the Securities) and thereby;</w:t>
      </w:r>
    </w:p>
    <w:p>
      <w:pPr>
        <w:spacing w:after="0" w:line="179" w:lineRule="exact"/>
        <w:rPr>
          <w:rFonts w:ascii="Times New Roman" w:cs="Times New Roman" w:eastAsia="Times New Roman" w:hAnsi="Times New Roman"/>
          <w:sz w:val="18"/>
          <w:szCs w:val="18"/>
          <w:color w:val="auto"/>
        </w:rPr>
      </w:pPr>
    </w:p>
    <w:p>
      <w:pPr>
        <w:jc w:val="both"/>
        <w:ind w:left="-980" w:firstLine="980"/>
        <w:spacing w:after="0" w:line="254" w:lineRule="auto"/>
        <w:tabs>
          <w:tab w:leader="none" w:pos="2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The Company had, as of the applicable date indicated in the Registration Statement, the Pricing Disclosure Package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Prospectus, and will have, as of the Closing Date, the duly authorized capitalization set forth in the Registration Statement, the Pricing Disclosure Package and the Prospectus under the caption “Capitalization,” after giving effect to the adjustments set forth thereunder; all of the issued and outstanding shares of capital stock of the Company have been duly authorized and validly issued, are fully paid and non- assessable, and have not been issued in violation of, or subject to any preemptive right or other similar right of stockholders arising by operation of law, under the Company’s articles of amendment and restatement and bylaws (collectively, the “Charter Documents”), under any agreement to which the Company is a party, or otherwise; except as disclosed in or contemplated by the Registration Statement, the Pricing Disclosure Package and the Prospectus, there are no outstanding (i) securities or obligations of the Company convertible into or exchangeable for any capital stock of the Company, (ii) warrants, rights or options to subscribe for or purchase from the Company any such capital stock or any such convertible or exchangeable securities or obligations or (iii) obligations of the Company to issue or sell any such capital stock, any such convertible or exchangeable securities or obligations, or any such warrants, rights or options;</w:t>
      </w:r>
    </w:p>
    <w:p>
      <w:pPr>
        <w:spacing w:after="0" w:line="185" w:lineRule="exact"/>
        <w:rPr>
          <w:rFonts w:ascii="Times New Roman" w:cs="Times New Roman" w:eastAsia="Times New Roman" w:hAnsi="Times New Roman"/>
          <w:sz w:val="18"/>
          <w:szCs w:val="18"/>
          <w:color w:val="auto"/>
        </w:rPr>
      </w:pPr>
    </w:p>
    <w:p>
      <w:pPr>
        <w:jc w:val="both"/>
        <w:ind w:left="-980" w:firstLine="980"/>
        <w:spacing w:after="0" w:line="253" w:lineRule="auto"/>
        <w:tabs>
          <w:tab w:leader="none" w:pos="20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Authorization of Subsidiaries</w:t>
      </w:r>
      <w:r>
        <w:rPr>
          <w:rFonts w:ascii="Times New Roman" w:cs="Times New Roman" w:eastAsia="Times New Roman" w:hAnsi="Times New Roman"/>
          <w:sz w:val="18"/>
          <w:szCs w:val="18"/>
          <w:color w:val="auto"/>
        </w:rPr>
        <w:t>. Each subsidiary of the Company that is a “Significant Subsidiary” within the meaning of such term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Rule 1-02 of Regulation S-X of the Commission (a complete list of which is set forth in Schedule 3 hereto) (each a “Subsidiary,” and collectively, the “Subsidiaries”) has been duly incorporated, formed or organized and is validly existing as a corporation, limited liability company, limited partnership or similar entity, in good standing under the laws of the jurisdiction of its incorporation, formation or organization, with requisite power and authority to own, lease or operate its properties and to conduct its business as described in the Registration Statement, the Pricing Disclosure Package and the Prospectus; the Subsidiaries are the only subsidiaries, direct or indirect, of the Company; other than Subsidiaries that are special purpose entities, no Subsidiary is currently prohibited, directly or indirectly, from paying any dividends or distributions to the Company, from repaying to the Company any loans or advances to such Subsidiary from the Company or from transferring any of such Subsidiary’s property or assets to the Company or any other Subsidiary of the Company; the outstanding equity interests of each of the Subsidiaries have been duly authorized and validly issued, are fully paid, and only with respect to any Subsidiary which is a corporation, non-assessable, and are owned by the Company or another Subsidiary free and clear of any lien, encumbrance or claim (each, a “Lien”), other than statutory Liens created by state or federal securities laws restricting the transfer of such equity interests; no options, warrants or other rights to purchase, agreements or other obligations to issue, or other rights to convert any obligations into, shares of capital stock or ownership interests in the Subsidiaries 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423545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2" w:right="339" w:bottom="1440" w:gutter="0" w:footer="0" w:header="0"/>
        </w:sectPr>
      </w:pPr>
    </w:p>
    <w:bookmarkStart w:id="9" w:name="page10"/>
    <w:bookmarkEnd w:id="9"/>
    <w:p>
      <w:pPr>
        <w:jc w:val="both"/>
        <w:ind w:left="-980" w:firstLine="980"/>
        <w:spacing w:after="0" w:line="257" w:lineRule="auto"/>
        <w:tabs>
          <w:tab w:leader="none" w:pos="29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Underwriting Agreement</w:t>
      </w:r>
      <w:r>
        <w:rPr>
          <w:rFonts w:ascii="Times New Roman" w:cs="Times New Roman" w:eastAsia="Times New Roman" w:hAnsi="Times New Roman"/>
          <w:sz w:val="18"/>
          <w:szCs w:val="18"/>
          <w:color w:val="auto"/>
        </w:rPr>
        <w:t>. The execution and delivery of this Agreement by the Company and the consummation by it of the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hereby have been duly authorized by all necessary action on the part of the Company. This Agreement has been duly executed by the Company and, when delivered in accordance with the terms hereof, will constitute a valid and binding obligation of the Company, enforceable against the Company in accordance with its terms, except as the enforcement thereof may be limited by bankruptcy, insolvency, reorganization, moratorium or other similar laws relating to or affecting the rights and remedies of creditors or by general equitable principles and except as rights to indemnity and contribution hereunder and thereunder may be limited by general equitable principles or federal or state securities laws or public policy underlying such laws;</w:t>
      </w:r>
    </w:p>
    <w:p>
      <w:pPr>
        <w:spacing w:after="0" w:line="182" w:lineRule="exact"/>
        <w:rPr>
          <w:rFonts w:ascii="Times New Roman" w:cs="Times New Roman" w:eastAsia="Times New Roman" w:hAnsi="Times New Roman"/>
          <w:sz w:val="18"/>
          <w:szCs w:val="18"/>
          <w:color w:val="auto"/>
        </w:rPr>
      </w:pPr>
    </w:p>
    <w:p>
      <w:pPr>
        <w:jc w:val="both"/>
        <w:ind w:left="-980" w:firstLine="980"/>
        <w:spacing w:after="0" w:line="258" w:lineRule="auto"/>
        <w:tabs>
          <w:tab w:leader="none" w:pos="24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Indenture</w:t>
      </w:r>
      <w:r>
        <w:rPr>
          <w:rFonts w:ascii="Times New Roman" w:cs="Times New Roman" w:eastAsia="Times New Roman" w:hAnsi="Times New Roman"/>
          <w:sz w:val="18"/>
          <w:szCs w:val="18"/>
          <w:color w:val="auto"/>
        </w:rPr>
        <w:t>. The Base Indenture has been duly authorized, executed and delivered by the Company and constitutes a valid and binding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of the Company, enforceable against the Company in accordance with its terms, except as the enforcement thereof may be limited by bankruptcy, insolvency, reorganization, moratorium or other similar laws relating to or affecting the rights and remedies of creditors or by general equitable principles and except as rights to indemnity and contribution thereunder may be limited by general equitable principles or federal or state securities laws or public policy underlying such laws;</w:t>
      </w:r>
    </w:p>
    <w:p>
      <w:pPr>
        <w:spacing w:after="0" w:line="183" w:lineRule="exact"/>
        <w:rPr>
          <w:rFonts w:ascii="Times New Roman" w:cs="Times New Roman" w:eastAsia="Times New Roman" w:hAnsi="Times New Roman"/>
          <w:sz w:val="18"/>
          <w:szCs w:val="18"/>
          <w:color w:val="auto"/>
        </w:rPr>
      </w:pPr>
    </w:p>
    <w:p>
      <w:pPr>
        <w:jc w:val="both"/>
        <w:ind w:left="-980" w:firstLine="980"/>
        <w:spacing w:after="0" w:line="255" w:lineRule="auto"/>
        <w:tabs>
          <w:tab w:leader="none" w:pos="24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Eighth Supplemental Indenture</w:t>
      </w:r>
      <w:r>
        <w:rPr>
          <w:rFonts w:ascii="Times New Roman" w:cs="Times New Roman" w:eastAsia="Times New Roman" w:hAnsi="Times New Roman"/>
          <w:sz w:val="18"/>
          <w:szCs w:val="18"/>
          <w:color w:val="auto"/>
        </w:rPr>
        <w:t>. The execution and delivery of the Eighth Supplemental Indenture by the Company and the consummation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it of the transactions contemplated thereby have been duly authorized by all necessary action on the part of the Company. On the Closing Date, the Eighth Supplemental Indenture will be duly executed and delivered by the Company and, when duly authorized, executed and delivered in accordance with the terms hereof and thereof, will constitute a valid and binding obligation of the Company, enforceable against the Company in accordance with its terms, except as the enforcement thereof may be limited by bankruptcy, insolvency, reorganization, moratorium or other similar laws relating to or affecting the rights and remedies of creditors or by general equitable principles and except as rights to indemnity and contribution thereunder may be limited by general equitable principles or federal or state securities laws or public policy underlying such laws; the Indenture conforms in all material respects to the requirements of the TIA, and the rules and regulations of the Commission applicable to an indenture that is qualified thereunder;</w:t>
      </w:r>
    </w:p>
    <w:p>
      <w:pPr>
        <w:spacing w:after="0" w:line="184" w:lineRule="exact"/>
        <w:rPr>
          <w:rFonts w:ascii="Times New Roman" w:cs="Times New Roman" w:eastAsia="Times New Roman" w:hAnsi="Times New Roman"/>
          <w:sz w:val="18"/>
          <w:szCs w:val="18"/>
          <w:color w:val="auto"/>
        </w:rPr>
      </w:pPr>
    </w:p>
    <w:p>
      <w:pPr>
        <w:jc w:val="both"/>
        <w:ind w:left="-980" w:firstLine="980"/>
        <w:spacing w:after="0" w:line="254" w:lineRule="auto"/>
        <w:tabs>
          <w:tab w:leader="none" w:pos="24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Securities</w:t>
      </w:r>
      <w:r>
        <w:rPr>
          <w:rFonts w:ascii="Times New Roman" w:cs="Times New Roman" w:eastAsia="Times New Roman" w:hAnsi="Times New Roman"/>
          <w:sz w:val="18"/>
          <w:szCs w:val="18"/>
          <w:color w:val="auto"/>
        </w:rPr>
        <w:t>. The Securities to be issued and sold by the Company hereunder have been duly authorized and, when issued, authenticated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delivered by the Company and when authenticated by the Trustee as provided herein and in the Indenture relating thereto, against payment of the consideration set forth herein, will be valid and binding obligations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and except as rights to indemnity and contribution thereunder may be limited by general equitable principles or federal or state securities laws or public policy underlying such laws, and will be entitled to the benefits of the Indenture relating thereto; and the Securities and the Indenture conform in all material respects to the statements relating thereto contained in the Registration Statement, the Pricing Disclosure Package and the Prospectus; the statements set forth in the Registration Statement, the Pricing Disclosure Package and the Prospectus under the caption “Description of the Notes,” insofar as they purport to describe the provisions of the laws and regulations or documents referred to therein, are accurate, complete and fair in all material respects;</w:t>
      </w:r>
    </w:p>
    <w:p>
      <w:pPr>
        <w:spacing w:after="0" w:line="185" w:lineRule="exact"/>
        <w:rPr>
          <w:rFonts w:ascii="Times New Roman" w:cs="Times New Roman" w:eastAsia="Times New Roman" w:hAnsi="Times New Roman"/>
          <w:sz w:val="18"/>
          <w:szCs w:val="18"/>
          <w:color w:val="auto"/>
        </w:rPr>
      </w:pPr>
    </w:p>
    <w:p>
      <w:pPr>
        <w:jc w:val="both"/>
        <w:ind w:left="-980" w:firstLine="980"/>
        <w:spacing w:after="0" w:line="257" w:lineRule="auto"/>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Violation or Default of the Company</w:t>
      </w:r>
      <w:r>
        <w:rPr>
          <w:rFonts w:ascii="Times New Roman" w:cs="Times New Roman" w:eastAsia="Times New Roman" w:hAnsi="Times New Roman"/>
          <w:sz w:val="18"/>
          <w:szCs w:val="18"/>
          <w:color w:val="auto"/>
        </w:rPr>
        <w:t>. The Company is not in breach of, or in default under (nor has any event occurred which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lapse of time, or both would constitute a breach of, or default under), (i) any of the Charter Documents, (ii) any obligation, agreement, covenant or condition contained in any material contract, license, indenture, mortgage, deed of trust, bank loan or credit agreement or other agreement or instrument to which the Company is a party or by which it or its assets may be bound or affected, or (iii) any Law (as defined below) applicable to the Company, except, in the case of clause (ii), for such breaches or defaults which would not, individually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419735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2" w:right="339" w:bottom="1440" w:gutter="0" w:footer="0" w:header="0"/>
        </w:sectPr>
      </w:pPr>
    </w:p>
    <w:bookmarkStart w:id="10" w:name="page11"/>
    <w:bookmarkEnd w:id="10"/>
    <w:p>
      <w:pPr>
        <w:jc w:val="both"/>
        <w:ind w:left="-980" w:firstLine="980"/>
        <w:spacing w:after="0" w:line="257" w:lineRule="auto"/>
        <w:tabs>
          <w:tab w:leader="none" w:pos="2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Violation or Default of Subsidiaries</w:t>
      </w:r>
      <w:r>
        <w:rPr>
          <w:rFonts w:ascii="Times New Roman" w:cs="Times New Roman" w:eastAsia="Times New Roman" w:hAnsi="Times New Roman"/>
          <w:sz w:val="18"/>
          <w:szCs w:val="18"/>
          <w:color w:val="auto"/>
        </w:rPr>
        <w:t>. None of the Subsidiaries is in breach of, or in default under (nor has any event occurred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notice, lapse of time, or both would constitute a breach of, or default under), (i) any of its charter documents, (ii) any obligation, agreement, covenant or condition contained in any material contract, license, indenture, mortgage, deed of trust, bank loan or credit agreement or other agreement or instrument to which such Subsidiary is a party or by which any of them or their respective assets may be bound or affected, or (iii) any Law applicable to such Subsidiary, except, in the case of clause (ii) for such breaches or defaults which would not, individually or in the aggregate, reasonably be expected to have a Material Adverse Effect;</w:t>
      </w:r>
    </w:p>
    <w:p>
      <w:pPr>
        <w:spacing w:after="0" w:line="182" w:lineRule="exact"/>
        <w:rPr>
          <w:rFonts w:ascii="Times New Roman" w:cs="Times New Roman" w:eastAsia="Times New Roman" w:hAnsi="Times New Roman"/>
          <w:sz w:val="18"/>
          <w:szCs w:val="18"/>
          <w:color w:val="auto"/>
        </w:rPr>
      </w:pPr>
    </w:p>
    <w:p>
      <w:pPr>
        <w:jc w:val="both"/>
        <w:ind w:left="-980" w:firstLine="980"/>
        <w:spacing w:after="0" w:line="253" w:lineRule="auto"/>
        <w:tabs>
          <w:tab w:leader="none" w:pos="2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Conflicts</w:t>
      </w:r>
      <w:r>
        <w:rPr>
          <w:rFonts w:ascii="Times New Roman" w:cs="Times New Roman" w:eastAsia="Times New Roman" w:hAnsi="Times New Roman"/>
          <w:sz w:val="18"/>
          <w:szCs w:val="18"/>
          <w:color w:val="auto"/>
        </w:rPr>
        <w:t>. The execution, delivery and performance by the Company of this Agreement and the Indenture, the issuance and sale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by the Company, the consummation by the Company of the transactions contemplated by this Agreement and the Indenture, the performance by the Company of the Indenture, and the use of the proceeds from the sale of the Securities as described in the Pricing Disclosure Package and the Prospectus, will not conflict with, or result in any breach of or constitute a default under (nor constitute any event which with notice, lapse of time, or both would constitute a breach of, or default under), (i) any provision of any of the Charter Documents, (ii) any provision of any material contract, license, indenture, mortgage, deed of trust, bank loan or credit agreement or other agreement or instrument to which the Company or any Subsidiary is a party or by which it or its respective assets may be bound or affected, or (iii) any Law issued by any federal, state or local government, regulatory commission, court, administrative agency or commission, or other governmental body, board, agency, authority or instrumentality of competent jurisdiction (each, a “Governmental Authority”) applicable to the Company or any Subsidiary, except in the case of clause (ii) for such conflicts, breaches or defaults which have been validly waived or would not, individually or in the aggregate, reasonably be expected to have a Material Adverse Effect or result in the creation or imposition of any material lien, charge, claim or encumbrance upon any property or asset of the Company or any Subsidiary;</w:t>
      </w:r>
    </w:p>
    <w:p>
      <w:pPr>
        <w:spacing w:after="0" w:line="191" w:lineRule="exact"/>
        <w:rPr>
          <w:rFonts w:ascii="Times New Roman" w:cs="Times New Roman" w:eastAsia="Times New Roman" w:hAnsi="Times New Roman"/>
          <w:sz w:val="18"/>
          <w:szCs w:val="18"/>
          <w:color w:val="auto"/>
        </w:rPr>
      </w:pPr>
    </w:p>
    <w:p>
      <w:pPr>
        <w:jc w:val="both"/>
        <w:ind w:left="-980" w:firstLine="980"/>
        <w:spacing w:after="0" w:line="257" w:lineRule="auto"/>
        <w:tabs>
          <w:tab w:leader="none" w:pos="2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Consents Required</w:t>
      </w:r>
      <w:r>
        <w:rPr>
          <w:rFonts w:ascii="Times New Roman" w:cs="Times New Roman" w:eastAsia="Times New Roman" w:hAnsi="Times New Roman"/>
          <w:sz w:val="18"/>
          <w:szCs w:val="18"/>
          <w:color w:val="auto"/>
        </w:rPr>
        <w:t>. No filing with, or authorization, approval, consent, license, order, registration, qualification or decree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Authority is necessary or required for the performance by the Company of this Agreement and the Indenture, the issuance and sale of the Securities, and the consummation of the transactions contemplated by this Agreement and the Indenture, except (A) such as have been already obtained or as may be required under the Securities Act, the Investment Company Act, the rules of the Nasdaq Global Select Market, state securities laws or the rules of the Financial Industry Regulatory Authority, Inc. (“FINRA”) and (B) where the failure to obtain any such filing, authorization, approval, consent, license, order, registration, qualification or decree would not reasonably be expected, singly or in the aggregate, to have a Material Adverse Effect;</w:t>
      </w:r>
    </w:p>
    <w:p>
      <w:pPr>
        <w:spacing w:after="0" w:line="182" w:lineRule="exact"/>
        <w:rPr>
          <w:rFonts w:ascii="Times New Roman" w:cs="Times New Roman" w:eastAsia="Times New Roman" w:hAnsi="Times New Roman"/>
          <w:sz w:val="18"/>
          <w:szCs w:val="18"/>
          <w:color w:val="auto"/>
        </w:rPr>
      </w:pPr>
    </w:p>
    <w:p>
      <w:pPr>
        <w:jc w:val="both"/>
        <w:ind w:left="-980" w:firstLine="980"/>
        <w:spacing w:after="0" w:line="258" w:lineRule="auto"/>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Judgments. </w:t>
      </w:r>
      <w:r>
        <w:rPr>
          <w:rFonts w:ascii="Times New Roman" w:cs="Times New Roman" w:eastAsia="Times New Roman" w:hAnsi="Times New Roman"/>
          <w:sz w:val="18"/>
          <w:szCs w:val="18"/>
          <w:color w:val="auto"/>
        </w:rPr>
        <w:t>There is no outstanding judgment, order, writ, injunction, decree or award of any Governmental Authority or arbitrator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affecting the business of the Company or any of the Subsidiaries, which draws into question the validity of any action taken or to be taken pursuant to this Agreement or in which it is sought to restrain or prohibit or to obtain damages or other relief in connection with this Agreement; there is no litigation, arbitration, investigation or other proceeding of or before any Governmental Authority pending, or, to the knowledge of the Company, threatened in writing, against the Company, any Subsidiary, any stockholder of the Company, or any stockholder or member of any Subsidiary;</w:t>
      </w:r>
    </w:p>
    <w:p>
      <w:pPr>
        <w:spacing w:after="0" w:line="183" w:lineRule="exact"/>
        <w:rPr>
          <w:rFonts w:ascii="Times New Roman" w:cs="Times New Roman" w:eastAsia="Times New Roman" w:hAnsi="Times New Roman"/>
          <w:sz w:val="18"/>
          <w:szCs w:val="18"/>
          <w:color w:val="auto"/>
        </w:rPr>
      </w:pPr>
    </w:p>
    <w:p>
      <w:pPr>
        <w:jc w:val="both"/>
        <w:ind w:left="-980" w:firstLine="980"/>
        <w:spacing w:after="0" w:line="255" w:lineRule="auto"/>
        <w:tabs>
          <w:tab w:leader="none" w:pos="24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Other than as set forth in the Registration Statement, the Pricing Disclosure Package and the Prospectus, there are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suits, proceedings, inquiries, examinations or investigations (collectively, “Proceedings”) pending or, to the knowledge of the Company, threatened against the Company or any Subsidiary, or any of their respective properties, directors, officers or employees at law or in equity, or before or by any Governmental Authority; other than the Underwriters, the Company has not authorized anyone to make any representations regarding the offer and sale of the Securities, or regarding the Company or any Subsidiary in connection therewith; none of the Company or the Subsidiaries has received written notice of any order or decree preventing the use of the Preliminary Prospectus, the Pricing Disclosure Package or the Preliminary Prospectus Supplement or any amendment or supplement thereto, and no Proceeding for that purpose has commenced or is pending or, to the knowledge of the Company, is contemplated;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421640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2" w:right="339" w:bottom="1440" w:gutter="0" w:footer="0" w:header="0"/>
        </w:sectPr>
      </w:pPr>
    </w:p>
    <w:bookmarkStart w:id="11" w:name="page12"/>
    <w:bookmarkEnd w:id="11"/>
    <w:p>
      <w:pPr>
        <w:jc w:val="both"/>
        <w:ind w:left="-980" w:firstLine="980"/>
        <w:spacing w:after="0" w:line="257" w:lineRule="auto"/>
        <w:tabs>
          <w:tab w:leader="none" w:pos="28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Laws</w:t>
      </w:r>
      <w:r>
        <w:rPr>
          <w:rFonts w:ascii="Times New Roman" w:cs="Times New Roman" w:eastAsia="Times New Roman" w:hAnsi="Times New Roman"/>
          <w:sz w:val="18"/>
          <w:szCs w:val="18"/>
          <w:color w:val="auto"/>
        </w:rPr>
        <w:t>. None of the Company or the Subsidiaries has violated, or received written notice of any violation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law, rule, regulation, order, decree or judgment (each, a “Law”) applicable to it and its business, including those relating to transactions with affiliates, lending, debt collection, notice, privacy, environmental, safety or similar Laws, federal or state Laws relating to discrimination in the hiring, promotion or pay of employees, federal or state wages and hours Laws, the Employee Retirement Income Security Act of 1974, as amended, and the rules and regulations promulgated thereunder (“ERISA”), except for those violations, in each case, as would not reasonably be expected to, individually or in the aggregate, have a Material Adverse Effect;</w:t>
      </w:r>
    </w:p>
    <w:p>
      <w:pPr>
        <w:spacing w:after="0" w:line="182" w:lineRule="exact"/>
        <w:rPr>
          <w:rFonts w:ascii="Times New Roman" w:cs="Times New Roman" w:eastAsia="Times New Roman" w:hAnsi="Times New Roman"/>
          <w:sz w:val="18"/>
          <w:szCs w:val="18"/>
          <w:color w:val="auto"/>
        </w:rPr>
      </w:pPr>
    </w:p>
    <w:p>
      <w:pPr>
        <w:jc w:val="both"/>
        <w:ind w:left="-980" w:firstLine="980"/>
        <w:spacing w:after="0" w:line="254" w:lineRule="auto"/>
        <w:tabs>
          <w:tab w:leader="none" w:pos="2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The statements set forth in the Registration Statement, the Pricing Disclosure Package and the Prospectus under the caption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“Description of Our Capital Stock”, insofar as they purport to describe the provisions of the laws and regulations or documents referred to therein, are accurate, complete and fair in all material respects; there are no contracts, agreements or understandings of the Company or any of its Subsidiaries that are required to be described in or filed as exhibits to the Registration Statement or the Prospectus by the Securities Act that have not been so described, filed or incorporated by reference therein as permitted by the Securities Act; the Registration Statement, Pricing Disclosure Package and the Prospectus contain accurate summaries in all material respects of all material contracts, agreements, instruments and other documents of the Company as required by Form N-2 under the Securities Act; the copies of all such contracts, agreements, instruments and other documents (including all amendments or waivers relating to any of the foregoing) that have been previously furnished to the Underwriters or their counsel are complete and genuine and include all material collateral and supplemental agreements thereto;</w:t>
      </w:r>
    </w:p>
    <w:p>
      <w:pPr>
        <w:spacing w:after="0" w:line="188" w:lineRule="exact"/>
        <w:rPr>
          <w:rFonts w:ascii="Times New Roman" w:cs="Times New Roman" w:eastAsia="Times New Roman" w:hAnsi="Times New Roman"/>
          <w:sz w:val="18"/>
          <w:szCs w:val="18"/>
          <w:color w:val="auto"/>
        </w:rPr>
      </w:pPr>
    </w:p>
    <w:p>
      <w:pPr>
        <w:jc w:val="both"/>
        <w:ind w:left="-980" w:firstLine="980"/>
        <w:spacing w:after="0" w:line="257"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Election to be Treated as a Business Development Company. </w:t>
      </w:r>
      <w:r>
        <w:rPr>
          <w:rFonts w:ascii="Times New Roman" w:cs="Times New Roman" w:eastAsia="Times New Roman" w:hAnsi="Times New Roman"/>
          <w:sz w:val="18"/>
          <w:szCs w:val="18"/>
          <w:color w:val="auto"/>
        </w:rPr>
        <w:t>The Company has duly elected to be regulated by the Commission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development company under the Investment Company Act, such election is effective and the Company has not withdrawn that election, and the Commission has not ordered that such election be withdrawn nor to the best of the Company’s knowledge have proceedings to effectuate such withdrawal been initiated or threatened by the Commission; the operations of the Company are in compliance with the provisions of the Investment Company Act applicable to business development companies and the rules and regulations of the Commission thereunder applicable to business development companies, except where such non-compliance would not reasonably be expected to result in a Material Adverse Effect;</w:t>
      </w:r>
    </w:p>
    <w:p>
      <w:pPr>
        <w:spacing w:after="0" w:line="182" w:lineRule="exact"/>
        <w:rPr>
          <w:rFonts w:ascii="Times New Roman" w:cs="Times New Roman" w:eastAsia="Times New Roman" w:hAnsi="Times New Roman"/>
          <w:sz w:val="18"/>
          <w:szCs w:val="18"/>
          <w:color w:val="auto"/>
        </w:rPr>
      </w:pPr>
    </w:p>
    <w:p>
      <w:pPr>
        <w:jc w:val="both"/>
        <w:ind w:left="-980" w:firstLine="980"/>
        <w:spacing w:after="0" w:line="267" w:lineRule="auto"/>
        <w:tabs>
          <w:tab w:leader="none" w:pos="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Ernst &amp; Young LLP, who has certified certain financial statements of the Company, is an independent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accounting firm with respect to the Company or its applicable predecessors within the meaning of the Securities Act and the Public Company Accounting Oversight Board (United States), as required by the Securities Act for registered offerings;</w:t>
      </w:r>
    </w:p>
    <w:p>
      <w:pPr>
        <w:spacing w:after="0" w:line="173" w:lineRule="exact"/>
        <w:rPr>
          <w:sz w:val="20"/>
          <w:szCs w:val="20"/>
          <w:color w:val="auto"/>
        </w:rPr>
      </w:pPr>
    </w:p>
    <w:p>
      <w:pPr>
        <w:jc w:val="both"/>
        <w:ind w:left="-980" w:firstLine="980"/>
        <w:spacing w:after="0" w:line="256" w:lineRule="auto"/>
        <w:tabs>
          <w:tab w:leader="none" w:pos="3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Title to Real and Personal Property. </w:t>
      </w:r>
      <w:r>
        <w:rPr>
          <w:rFonts w:ascii="Times New Roman" w:cs="Times New Roman" w:eastAsia="Times New Roman" w:hAnsi="Times New Roman"/>
          <w:sz w:val="18"/>
          <w:szCs w:val="18"/>
          <w:color w:val="auto"/>
        </w:rPr>
        <w:t>The Company and each of the Subsidiaries has good and valid title to all assets and properties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reflected as owned by it in the Registration Statement, Pricing Disclosure Package and the Prospectus (whether through fee ownership, mineral estates or similar rights of ownership), in each case free and clear of any Liens, except such as are disclosed in the Registration Statement, the Pricing Disclosure Package and the Prospectus; any real property or personal property held under lease by the Company or any Subsidiary is held under a lease that is valid, existing and enforceable by the Company or such Subsidiary, with such exceptions as are disclosed in the Registration Statement, the Pricing Disclosure Package and the Prospectus, and none of the Company or the Subsidiaries has received any notice of any claim of any sort that has been asserted by anyone adverse to the rights of the Company or any Subsidiary under any such lease;</w:t>
      </w:r>
    </w:p>
    <w:p>
      <w:pPr>
        <w:spacing w:after="0" w:line="182" w:lineRule="exact"/>
        <w:rPr>
          <w:rFonts w:ascii="Times New Roman" w:cs="Times New Roman" w:eastAsia="Times New Roman" w:hAnsi="Times New Roman"/>
          <w:sz w:val="18"/>
          <w:szCs w:val="18"/>
          <w:color w:val="auto"/>
        </w:rPr>
      </w:pPr>
    </w:p>
    <w:p>
      <w:pPr>
        <w:jc w:val="both"/>
        <w:ind w:left="-980" w:firstLine="980"/>
        <w:spacing w:after="0" w:line="256" w:lineRule="auto"/>
        <w:tabs>
          <w:tab w:leader="none" w:pos="35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Intellectual Property</w:t>
      </w:r>
      <w:r>
        <w:rPr>
          <w:rFonts w:ascii="Times New Roman" w:cs="Times New Roman" w:eastAsia="Times New Roman" w:hAnsi="Times New Roman"/>
          <w:sz w:val="18"/>
          <w:szCs w:val="18"/>
          <w:color w:val="auto"/>
        </w:rPr>
        <w:t>. The Company and each Subsidiary owns or possesses such licenses or other rights to use all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patents, trademarks, service marks, trade names, copyrights, software and design licenses, trade secrets, other intangible property rights and know-how (collectively “Intangibles”) as are necessary to conduct the Company’s and/or such Subsidiary’s respective business as described in the Registration Statement, the Pricing Disclosure Package and the Prospectus, except such as are disclosed in the Registration Statement, the Pricing Disclosure Package and the Prospectus, and none of the Company or the Subsidiaries has received written notice of any infringement of or conflict with (and none of the Company or the Subsidiaries knows of any such infringement of or conflict with) asserted rights of others with respect to any Intangibles, which would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420370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2" w:right="339" w:bottom="1440" w:gutter="0" w:footer="0" w:header="0"/>
        </w:sectPr>
      </w:pPr>
    </w:p>
    <w:bookmarkStart w:id="12" w:name="page13"/>
    <w:bookmarkEnd w:id="12"/>
    <w:p>
      <w:pPr>
        <w:jc w:val="both"/>
        <w:ind w:left="-980" w:firstLine="980"/>
        <w:spacing w:after="0" w:line="261" w:lineRule="auto"/>
        <w:tabs>
          <w:tab w:leader="none" w:pos="3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Undisclosed Relationships</w:t>
      </w:r>
      <w:r>
        <w:rPr>
          <w:rFonts w:ascii="Times New Roman" w:cs="Times New Roman" w:eastAsia="Times New Roman" w:hAnsi="Times New Roman"/>
          <w:sz w:val="18"/>
          <w:szCs w:val="18"/>
          <w:color w:val="auto"/>
        </w:rPr>
        <w:t>. None of the independent directors named in the Registration Statement, the Pricing Disclosure Package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Prospectus has, within the last five years, been employed by or affiliated, directly or indirectly, with the Company or any of the Subsidiaries, whether by ownership of, ownership interest in, employment by, any material business or professional relationship with, or serving as an officer or director of, the Company, any of the Subsidiaries, or any of their respective affiliates;</w:t>
      </w:r>
    </w:p>
    <w:p>
      <w:pPr>
        <w:spacing w:after="0" w:line="179" w:lineRule="exact"/>
        <w:rPr>
          <w:rFonts w:ascii="Times New Roman" w:cs="Times New Roman" w:eastAsia="Times New Roman" w:hAnsi="Times New Roman"/>
          <w:sz w:val="18"/>
          <w:szCs w:val="18"/>
          <w:color w:val="auto"/>
        </w:rPr>
      </w:pPr>
    </w:p>
    <w:p>
      <w:pPr>
        <w:ind w:left="-980" w:firstLine="980"/>
        <w:spacing w:after="0" w:line="284" w:lineRule="auto"/>
        <w:tabs>
          <w:tab w:leader="none" w:pos="3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Company Act. </w:t>
      </w:r>
      <w:r>
        <w:rPr>
          <w:rFonts w:ascii="Times New Roman" w:cs="Times New Roman" w:eastAsia="Times New Roman" w:hAnsi="Times New Roman"/>
          <w:sz w:val="18"/>
          <w:szCs w:val="18"/>
          <w:color w:val="auto"/>
        </w:rPr>
        <w:t>Neither the Company nor any Subsidiary is required to register as an “investment company”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Company Act;</w:t>
      </w:r>
    </w:p>
    <w:p>
      <w:pPr>
        <w:spacing w:after="0" w:line="158" w:lineRule="exact"/>
        <w:rPr>
          <w:rFonts w:ascii="Times New Roman" w:cs="Times New Roman" w:eastAsia="Times New Roman" w:hAnsi="Times New Roman"/>
          <w:sz w:val="18"/>
          <w:szCs w:val="18"/>
          <w:color w:val="auto"/>
        </w:rPr>
      </w:pPr>
    </w:p>
    <w:p>
      <w:pPr>
        <w:jc w:val="both"/>
        <w:ind w:left="-980" w:firstLine="980"/>
        <w:spacing w:after="0" w:line="253" w:lineRule="auto"/>
        <w:tabs>
          <w:tab w:leader="none" w:pos="31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Except where such failure to file or pay a tax, assessment, charge or lien would not, individually or in the aggregate, reasonably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have a Material Adverse Effect or where such matters are the result of a pending bona fide dispute with taxing authorities, (i) the Company and the Subsidiaries have accurately prepared and timely filed (taking into account any extensions of time within which to file) any and all federal, state, foreign and other tax returns that are required to be filed by them, if any, and have paid or made provision for the payment of all taxes, assessments, governmental or other similar charges, including, without limitation, all sales and use taxes and all taxes which the Company and the Subsidiaries are obligated to withhold from amounts owing to employees, creditors and third parties, with respect to the periods covered by such tax returns (whether or not such amounts are shown as due on any tax return), and (ii) there is no tax Lien, whether imposed by any federal, state, foreign or other taxing authority, outstanding against the assets, properties or business of the Company or any Subsidiary, other than Liens for taxes not yet due and payable; no deficiency assessment with respect to a proposed adjustment of the Company’s or any Subsidiary’s federal, state, local or foreign taxes is pending or, to the knowledge of the Company, threatened; since the date of the most recent audited financial statements, none of the Company or the Subsidiaries has incurred any liability for taxes other than in the ordinary course of its business;</w:t>
      </w:r>
    </w:p>
    <w:p>
      <w:pPr>
        <w:spacing w:after="0" w:line="191" w:lineRule="exact"/>
        <w:rPr>
          <w:rFonts w:ascii="Times New Roman" w:cs="Times New Roman" w:eastAsia="Times New Roman" w:hAnsi="Times New Roman"/>
          <w:sz w:val="18"/>
          <w:szCs w:val="18"/>
          <w:color w:val="auto"/>
        </w:rPr>
      </w:pPr>
    </w:p>
    <w:p>
      <w:pPr>
        <w:jc w:val="both"/>
        <w:ind w:left="-980" w:firstLine="980"/>
        <w:spacing w:after="0" w:line="254" w:lineRule="auto"/>
        <w:tabs>
          <w:tab w:leader="none" w:pos="27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Licenses and Permits</w:t>
      </w:r>
      <w:r>
        <w:rPr>
          <w:rFonts w:ascii="Times New Roman" w:cs="Times New Roman" w:eastAsia="Times New Roman" w:hAnsi="Times New Roman"/>
          <w:sz w:val="18"/>
          <w:szCs w:val="18"/>
          <w:color w:val="auto"/>
        </w:rPr>
        <w:t>. The Company and each of the Subsidiaries has all necessary licenses, permits, certificates, authorizations, consents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approvals and has made all necessary filings required under any Law (collectively, the “Authorizations”) required in order to conduct its respective business as described in the Registration Statement, the Pricing Disclosure Package and the Prospectus; the Company and each of the Subsidiaries have complied with the terms of the necessary Authorizations and there are not pending modifications, amendments or revocations of the Authorizations; the Company and the Subsidiaries have paid all fees due to Governmental Authorities pursuant to the Authorizations; all reports required to be filed in connection with the Authorizations have been timely filed and are accurate and complete; and the Company and the Subsidiaries are not in violation of, or in default under, any such Authorizations or any Law issued by a Governmental Authority applicable to the Company or any such Subsidiary, except to the extent that any failure to have, comply with, pay any fees pursuant to, file any reports in connection with, or violate or default under any such Authorizations would not, individually or in the aggregate,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left="-980" w:firstLine="980"/>
        <w:spacing w:after="0" w:line="253" w:lineRule="auto"/>
        <w:tabs>
          <w:tab w:leader="none" w:pos="33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Accounting Controls</w:t>
      </w:r>
      <w:r>
        <w:rPr>
          <w:rFonts w:ascii="Times New Roman" w:cs="Times New Roman" w:eastAsia="Times New Roman" w:hAnsi="Times New Roman"/>
          <w:sz w:val="18"/>
          <w:szCs w:val="18"/>
          <w:color w:val="auto"/>
        </w:rPr>
        <w:t>. The Company maintains a system of internal accounting controls over financial reporting (as such term is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Rule 13a-15(f) under the Exchange Act) that complies in all material respects with the requirements of the Exchange Act and is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each of the Registration Statement, the Pricing Disclosure Package and the Prospectus, (A) the Company is not aware of any material weaknesses or significant deficiencies (as such terms are defined in Rule 1-02(a)(4) of Regulation S-X under the Securities Act) in the Company’s internal controls over financial reporting, and (B) there has been no change in the Company’s internal controls over financial reporting since the respective dates of the information given in the Registration Statement, the Pricing Disclosure Package and the Prospectus that has materially affected, or is reasonably likely to materially affect, the Company’s internal controls over financial reporting;</w:t>
      </w:r>
    </w:p>
    <w:p>
      <w:pPr>
        <w:spacing w:after="0" w:line="191" w:lineRule="exact"/>
        <w:rPr>
          <w:rFonts w:ascii="Times New Roman" w:cs="Times New Roman" w:eastAsia="Times New Roman" w:hAnsi="Times New Roman"/>
          <w:sz w:val="18"/>
          <w:szCs w:val="18"/>
          <w:color w:val="auto"/>
        </w:rPr>
      </w:pPr>
    </w:p>
    <w:p>
      <w:pPr>
        <w:jc w:val="both"/>
        <w:ind w:left="-980" w:firstLine="980"/>
        <w:spacing w:after="0" w:line="255" w:lineRule="auto"/>
        <w:tabs>
          <w:tab w:leader="none" w:pos="33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The Company is insured by insurers of recognized financial responsibility against such losses and risks and in such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are prudent and customary in the businesses in which it is engaged and which the Company reasonably deems adequate; all policies of insurance insuring the Company or its business, assets, employees, officers and directors, including the Company’s directors and officers errors and omissions insurance policy and its fidelity bond required by Rule 17g-1 of the Investment Company Act, are, or as of the Closing Date, will be in full force and effect; the Company is, or will be as of the Closing Date, in compliance with the terms of such policy and fidelity bond; and there are no claims by the Company under any such policy or fidelity bond as to which any insurance company is denying liability or defending under a reservation of rights clause; the Company has no reason to believe that it will not be able to renew its existing insurance coverage and fidelity bond as and when such coverage and fidelity bond expires or to obtain similar coverage and fidelity bond from similar insurers as may be necessary to continue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421640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2" w:right="339" w:bottom="1440" w:gutter="0" w:footer="0" w:header="0"/>
        </w:sectPr>
      </w:pPr>
    </w:p>
    <w:bookmarkStart w:id="13" w:name="page14"/>
    <w:bookmarkEnd w:id="13"/>
    <w:p>
      <w:pPr>
        <w:jc w:val="both"/>
        <w:ind w:left="-980" w:firstLine="980"/>
        <w:spacing w:after="0" w:line="253" w:lineRule="auto"/>
        <w:tabs>
          <w:tab w:leader="none" w:pos="27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Unlawful Payments</w:t>
      </w:r>
      <w:r>
        <w:rPr>
          <w:rFonts w:ascii="Times New Roman" w:cs="Times New Roman" w:eastAsia="Times New Roman" w:hAnsi="Times New Roman"/>
          <w:sz w:val="18"/>
          <w:szCs w:val="18"/>
          <w:color w:val="auto"/>
        </w:rPr>
        <w:t>. None of the Company or any of its Subsidiaries or any director, officer, employee or, to the knowledge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any agent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law, regulation, order, decree, or directive having the force of law relating to anti-bribery or anti-corruption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 and the Company will not use, directly or indirectly, the proceeds of the offering in furtherance of any offer payment, promise to pay, or authorization or approval of the payment or giving of money, or anything else of value, to any person in violation of the Anti-Corruption Laws;</w:t>
      </w:r>
    </w:p>
    <w:p>
      <w:pPr>
        <w:spacing w:after="0" w:line="185" w:lineRule="exact"/>
        <w:rPr>
          <w:rFonts w:ascii="Times New Roman" w:cs="Times New Roman" w:eastAsia="Times New Roman" w:hAnsi="Times New Roman"/>
          <w:sz w:val="18"/>
          <w:szCs w:val="18"/>
          <w:color w:val="auto"/>
        </w:rPr>
      </w:pPr>
    </w:p>
    <w:p>
      <w:pPr>
        <w:jc w:val="both"/>
        <w:ind w:left="-980" w:firstLine="980"/>
        <w:spacing w:after="0" w:line="254" w:lineRule="auto"/>
        <w:tabs>
          <w:tab w:leader="none" w:pos="27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Anti-Money Laundering Laws</w:t>
      </w:r>
      <w:r>
        <w:rPr>
          <w:rFonts w:ascii="Times New Roman" w:cs="Times New Roman" w:eastAsia="Times New Roman" w:hAnsi="Times New Roman"/>
          <w:sz w:val="18"/>
          <w:szCs w:val="18"/>
          <w:color w:val="auto"/>
        </w:rPr>
        <w:t>. The operations of the Company and the Subsidiaries are and have been conducted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conducted at all times in compliance with applicable financial recordkeeping and reporting requirements, the Bank Secrecy Act of 1970, as amended, applicable provisions of the United and Strengthening of America by Providing Appropriate Tools Required to Intercept and Obstruct Terrorism Act (USA PATRIOT ACT) of 2001, including all amendments thereto and the rules and regulations promulgated thereunder (the “USA Patriot Act”), the Money Laundering Control Act of 1986, the anti-money laundering statutes of all jurisdictions to the extent applicable to the Company or any of the Subsidiaries, the rules and regulations thereunder and any related or similar rules, regulations or guidelines issued, administered or enforced by any Governmental Authority (collectively, the “Anti-Money Laundering Laws”) of all jurisdictions having jurisdiction over the Company and the Subsidiaries, and; no action, suit or proceeding by or before any Governmental Authority or any arbitrator involving the Company or any of the Subsidiaries with respect to the Anti-Money Laundering Laws of all jurisdictions having jurisdiction over the Company and the Subsidiaries is pending or, to the knowledge of the Company, threatened;</w:t>
      </w:r>
    </w:p>
    <w:p>
      <w:pPr>
        <w:spacing w:after="0" w:line="185" w:lineRule="exact"/>
        <w:rPr>
          <w:rFonts w:ascii="Times New Roman" w:cs="Times New Roman" w:eastAsia="Times New Roman" w:hAnsi="Times New Roman"/>
          <w:sz w:val="18"/>
          <w:szCs w:val="18"/>
          <w:color w:val="auto"/>
        </w:rPr>
      </w:pPr>
    </w:p>
    <w:p>
      <w:pPr>
        <w:jc w:val="both"/>
        <w:ind w:left="-980" w:firstLine="980"/>
        <w:spacing w:after="0" w:line="267" w:lineRule="auto"/>
        <w:tabs>
          <w:tab w:leader="none" w:pos="33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Related Party Indebtedness</w:t>
      </w:r>
      <w:r>
        <w:rPr>
          <w:rFonts w:ascii="Times New Roman" w:cs="Times New Roman" w:eastAsia="Times New Roman" w:hAnsi="Times New Roman"/>
          <w:sz w:val="18"/>
          <w:szCs w:val="18"/>
          <w:color w:val="auto"/>
        </w:rPr>
        <w:t>. There are no outstanding loans or advances or guarantees of indebtedness by the Company or any Subsidiary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or for the benefit of any of the directors, officers, affiliates, or representatives of the Company or any Subsidiary, or any of the immediate family members of any of them;</w:t>
      </w:r>
    </w:p>
    <w:p>
      <w:pPr>
        <w:spacing w:after="0" w:line="173" w:lineRule="exact"/>
        <w:rPr>
          <w:rFonts w:ascii="Times New Roman" w:cs="Times New Roman" w:eastAsia="Times New Roman" w:hAnsi="Times New Roman"/>
          <w:sz w:val="18"/>
          <w:szCs w:val="18"/>
          <w:color w:val="auto"/>
        </w:rPr>
      </w:pPr>
    </w:p>
    <w:p>
      <w:pPr>
        <w:jc w:val="both"/>
        <w:ind w:left="-980" w:firstLine="980"/>
        <w:spacing w:after="0" w:line="252" w:lineRule="auto"/>
        <w:tabs>
          <w:tab w:leader="none" w:pos="2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Conflicts with Sanctions Laws</w:t>
      </w:r>
      <w:r>
        <w:rPr>
          <w:rFonts w:ascii="Times New Roman" w:cs="Times New Roman" w:eastAsia="Times New Roman" w:hAnsi="Times New Roman"/>
          <w:sz w:val="18"/>
          <w:szCs w:val="18"/>
          <w:color w:val="auto"/>
        </w:rPr>
        <w:t>. None of the Company or any of the Subsidiaries, or any of their respective directors, officers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or, to the knowledge of the Company, any agents or affiliates or other persons associated with or acting on behalf of the Company, is an individual or an entity that is, or is owned or controlled by one or more individuals or entities, is currently the target of, any sanctions administered or enforced by the U.S. government (including, without limitation, the Office of Foreign Assets Control of the U.S. Department of the Treasury and U.S. Department of State and including, without limitation, the designation as a “specially designated national” or “blocked person”), the United Nations Security Council, the European Union, His Majesty’s Treasury, or other relevant sanctions authority (collectively, “Sanctions,” and each such subject or target, a “Sanctioned Person”), nor is the Company or any of the Subsidiaries or any of its directors, officers, or employees, or, to the knowledge of the Company, any agents, affiliates or other persons associated with or acting on behalf of the Company, an individual or entity that is, or is owned or controlled by one or more individuals or entities that are, located, organized, or resident in a country or territory that is the subject or the target of Sanctions that broadly prohibit dealings with that country or territory (including, without limitation, the so-called Donetsk People’s Republic, the so-called Luhansk People’s Republic or any other Covered Region of Ukraine identified in Executive Order 14065, the non-government controlled areas of Kherson and Zaporizhzhia, Crimea, Cuba, Iran, and North Korea) (each, a “Sanctioned Territory”); and the Company will not directly or indirectly use the proceeds of the offering of the Securities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Territory in each case, in any manner that will result in a violation by any person (including any person participating in the transaction, whether as underwriter, advisor, investor, or otherwise) of Sanctions. Since the inception of the Company, the Company and the Subsidiaries have not knowingly engaged in, and are not now knowingly engaged in, and will not engage in, any dealings or transactions with any person that at the time of the dealing or transaction is or was a Sanctioned Person or with any Sanctioned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426085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2" w:right="339" w:bottom="1440" w:gutter="0" w:footer="0" w:header="0"/>
        </w:sectPr>
      </w:pPr>
    </w:p>
    <w:bookmarkStart w:id="14" w:name="page15"/>
    <w:bookmarkEnd w:id="14"/>
    <w:p>
      <w:pPr>
        <w:ind w:left="-980" w:firstLine="980"/>
        <w:spacing w:after="0" w:line="284" w:lineRule="auto"/>
        <w:tabs>
          <w:tab w:leader="none" w:pos="43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Company Not Ineligible Issuer. </w:t>
      </w:r>
      <w:r>
        <w:rPr>
          <w:rFonts w:ascii="Times New Roman" w:cs="Times New Roman" w:eastAsia="Times New Roman" w:hAnsi="Times New Roman"/>
          <w:sz w:val="18"/>
          <w:szCs w:val="18"/>
          <w:color w:val="auto"/>
        </w:rPr>
        <w:t>The Company is not an ineligible issuer, as defined under the Securities Act, at the time specified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in connection with the offering of the Securities;</w:t>
      </w:r>
    </w:p>
    <w:p>
      <w:pPr>
        <w:spacing w:after="0" w:line="158" w:lineRule="exact"/>
        <w:rPr>
          <w:rFonts w:ascii="Times New Roman" w:cs="Times New Roman" w:eastAsia="Times New Roman" w:hAnsi="Times New Roman"/>
          <w:sz w:val="18"/>
          <w:szCs w:val="18"/>
          <w:color w:val="auto"/>
        </w:rPr>
      </w:pPr>
    </w:p>
    <w:p>
      <w:pPr>
        <w:ind w:left="-980" w:firstLine="980"/>
        <w:spacing w:after="0" w:line="284" w:lineRule="auto"/>
        <w:tabs>
          <w:tab w:leader="none" w:pos="33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Broker’s Fees. </w:t>
      </w:r>
      <w:r>
        <w:rPr>
          <w:rFonts w:ascii="Times New Roman" w:cs="Times New Roman" w:eastAsia="Times New Roman" w:hAnsi="Times New Roman"/>
          <w:sz w:val="18"/>
          <w:szCs w:val="18"/>
          <w:color w:val="auto"/>
        </w:rPr>
        <w:t>Except with respect to the Underwriters, none of the Company or the Subsidiaries has incurred any liability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finder’s fees or similar payments in connection with the transactions contemplated hereby;</w:t>
      </w:r>
    </w:p>
    <w:p>
      <w:pPr>
        <w:spacing w:after="0" w:line="158" w:lineRule="exact"/>
        <w:rPr>
          <w:rFonts w:ascii="Times New Roman" w:cs="Times New Roman" w:eastAsia="Times New Roman" w:hAnsi="Times New Roman"/>
          <w:sz w:val="18"/>
          <w:szCs w:val="18"/>
          <w:color w:val="auto"/>
        </w:rPr>
      </w:pPr>
    </w:p>
    <w:p>
      <w:pPr>
        <w:ind w:left="-980" w:firstLine="980"/>
        <w:spacing w:after="0" w:line="284" w:lineRule="auto"/>
        <w:tabs>
          <w:tab w:leader="none" w:pos="33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Rights. </w:t>
      </w:r>
      <w:r>
        <w:rPr>
          <w:rFonts w:ascii="Times New Roman" w:cs="Times New Roman" w:eastAsia="Times New Roman" w:hAnsi="Times New Roman"/>
          <w:sz w:val="18"/>
          <w:szCs w:val="18"/>
          <w:color w:val="auto"/>
        </w:rPr>
        <w:t>There are no persons with registration or other similar rights to have any securities registered by the Company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Act;</w:t>
      </w:r>
    </w:p>
    <w:p>
      <w:pPr>
        <w:spacing w:after="0" w:line="158" w:lineRule="exact"/>
        <w:rPr>
          <w:rFonts w:ascii="Times New Roman" w:cs="Times New Roman" w:eastAsia="Times New Roman" w:hAnsi="Times New Roman"/>
          <w:sz w:val="18"/>
          <w:szCs w:val="18"/>
          <w:color w:val="auto"/>
        </w:rPr>
      </w:pPr>
    </w:p>
    <w:p>
      <w:pPr>
        <w:jc w:val="both"/>
        <w:ind w:left="-980" w:firstLine="980"/>
        <w:spacing w:after="0" w:line="257" w:lineRule="auto"/>
        <w:tabs>
          <w:tab w:leader="none" w:pos="33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Stabilization or Manipulation</w:t>
      </w:r>
      <w:r>
        <w:rPr>
          <w:rFonts w:ascii="Times New Roman" w:cs="Times New Roman" w:eastAsia="Times New Roman" w:hAnsi="Times New Roman"/>
          <w:sz w:val="18"/>
          <w:szCs w:val="18"/>
          <w:color w:val="auto"/>
        </w:rPr>
        <w:t>. Neither the Company nor any of the Subsidiaries, nor any affiliates of the Company or its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taken, directly, or indirectly, and neither the Company nor any of the Subsidiaries, nor any affiliates of the Company or its Subsidiaries, will take, directly or indirectly, any action designed to cause or result in, or which constitutes or might reasonably be expected to constitute, the stabilization or manipulation of the price of any security of the Company or any “reference security” (as defined in Rule 100 of Regulation M under the Exchange Act) to facilitate the sale or resale of the Securities or otherwise, and has taken no action which would directly or indirectly violate Regulation M under the Exchange Act;</w:t>
      </w:r>
    </w:p>
    <w:p>
      <w:pPr>
        <w:spacing w:after="0" w:line="182" w:lineRule="exact"/>
        <w:rPr>
          <w:rFonts w:ascii="Times New Roman" w:cs="Times New Roman" w:eastAsia="Times New Roman" w:hAnsi="Times New Roman"/>
          <w:sz w:val="18"/>
          <w:szCs w:val="18"/>
          <w:color w:val="auto"/>
        </w:rPr>
      </w:pPr>
    </w:p>
    <w:p>
      <w:pPr>
        <w:jc w:val="both"/>
        <w:ind w:left="-980" w:firstLine="980"/>
        <w:spacing w:after="0" w:line="267" w:lineRule="auto"/>
        <w:tabs>
          <w:tab w:leader="none" w:pos="33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Exchange Act) contained in the Registration Statement, the Pricing Disclosure Package, or the Prospectus has been made or reaffirmed without a reasonable basis or has been disclosed other than in good faith;</w:t>
      </w:r>
    </w:p>
    <w:p>
      <w:pPr>
        <w:spacing w:after="0" w:line="173" w:lineRule="exact"/>
        <w:rPr>
          <w:rFonts w:ascii="Times New Roman" w:cs="Times New Roman" w:eastAsia="Times New Roman" w:hAnsi="Times New Roman"/>
          <w:sz w:val="18"/>
          <w:szCs w:val="18"/>
          <w:color w:val="auto"/>
        </w:rPr>
      </w:pPr>
    </w:p>
    <w:p>
      <w:pPr>
        <w:jc w:val="both"/>
        <w:ind w:left="-980" w:firstLine="980"/>
        <w:spacing w:after="0" w:line="267" w:lineRule="auto"/>
        <w:tabs>
          <w:tab w:leader="none" w:pos="27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Statistical and Market Data. </w:t>
      </w:r>
      <w:r>
        <w:rPr>
          <w:rFonts w:ascii="Times New Roman" w:cs="Times New Roman" w:eastAsia="Times New Roman" w:hAnsi="Times New Roman"/>
          <w:sz w:val="18"/>
          <w:szCs w:val="18"/>
          <w:color w:val="auto"/>
        </w:rPr>
        <w:t>Nothing has come to the attention of the Company that has caused the Company to believe that any statistical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market-related data included or incorporated by reference in each of the Registration Statement, the Pricing Disclosure Package and the Prospectus are not based on or derived from sources that the Company reasonably believes are reliable and accurate in all material respects;</w:t>
      </w:r>
    </w:p>
    <w:p>
      <w:pPr>
        <w:spacing w:after="0" w:line="173" w:lineRule="exact"/>
        <w:rPr>
          <w:rFonts w:ascii="Times New Roman" w:cs="Times New Roman" w:eastAsia="Times New Roman" w:hAnsi="Times New Roman"/>
          <w:sz w:val="18"/>
          <w:szCs w:val="18"/>
          <w:color w:val="auto"/>
        </w:rPr>
      </w:pPr>
    </w:p>
    <w:p>
      <w:pPr>
        <w:jc w:val="both"/>
        <w:ind w:left="-980" w:firstLine="980"/>
        <w:spacing w:after="0" w:line="261" w:lineRule="auto"/>
        <w:tabs>
          <w:tab w:leader="none" w:pos="31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Sarbanes-Oxley Act. </w:t>
      </w:r>
      <w:r>
        <w:rPr>
          <w:rFonts w:ascii="Times New Roman" w:cs="Times New Roman" w:eastAsia="Times New Roman" w:hAnsi="Times New Roman"/>
          <w:sz w:val="18"/>
          <w:szCs w:val="18"/>
          <w:color w:val="auto"/>
        </w:rPr>
        <w:t>To the extent applicable to the Company on the date hereof, there is and has been no failure on the part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any of the Company’s directors or officers, in their capacities as such, to comply with any provision of the Sarbanes-Oxley Act of 2002, as amended, and the rules and regulations promulgated in connection therewith, including Section 402 related to loans and Sections 302 and 906 related to certifications;</w:t>
      </w:r>
    </w:p>
    <w:p>
      <w:pPr>
        <w:spacing w:after="0" w:line="179" w:lineRule="exact"/>
        <w:rPr>
          <w:rFonts w:ascii="Times New Roman" w:cs="Times New Roman" w:eastAsia="Times New Roman" w:hAnsi="Times New Roman"/>
          <w:sz w:val="18"/>
          <w:szCs w:val="18"/>
          <w:color w:val="auto"/>
        </w:rPr>
      </w:pPr>
    </w:p>
    <w:p>
      <w:pPr>
        <w:jc w:val="both"/>
        <w:ind w:left="-980" w:right="20" w:firstLine="980"/>
        <w:spacing w:after="0" w:line="261" w:lineRule="auto"/>
        <w:tabs>
          <w:tab w:leader="none" w:pos="2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Rule 38a-1 Compliance. </w:t>
      </w:r>
      <w:r>
        <w:rPr>
          <w:rFonts w:ascii="Times New Roman" w:cs="Times New Roman" w:eastAsia="Times New Roman" w:hAnsi="Times New Roman"/>
          <w:sz w:val="18"/>
          <w:szCs w:val="18"/>
          <w:color w:val="auto"/>
        </w:rPr>
        <w:t>The Company has (i) appointed a Chief Compliance Officer and (ii) adopted and implemented written policies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procedures reasonably designed to prevent violation of the Federal Securities Laws (as that term is defined in Rule 38a-1 under the Investment Company Act) by the Company, including policies and procedures that provide oversight of compliance for each administrator and transfer agent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418465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2" w:right="339" w:bottom="1440" w:gutter="0" w:footer="0" w:header="0"/>
        </w:sectPr>
      </w:pPr>
    </w:p>
    <w:bookmarkStart w:id="15" w:name="page16"/>
    <w:bookmarkEnd w:id="15"/>
    <w:p>
      <w:pPr>
        <w:jc w:val="both"/>
        <w:ind w:left="-980" w:firstLine="980"/>
        <w:spacing w:after="0" w:line="267" w:lineRule="auto"/>
        <w:tabs>
          <w:tab w:leader="none" w:pos="35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Regulated Investment Company. </w:t>
      </w:r>
      <w:r>
        <w:rPr>
          <w:rFonts w:ascii="Times New Roman" w:cs="Times New Roman" w:eastAsia="Times New Roman" w:hAnsi="Times New Roman"/>
          <w:sz w:val="18"/>
          <w:szCs w:val="18"/>
          <w:color w:val="auto"/>
        </w:rPr>
        <w:t>The Company has elected (which election has not been revoked) to be treated, and has operated,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intends to operate its business in such a manner as to enable the Company to continue to qualify as a regulated investment company under Subchapter M of the Code (as defined below);</w:t>
      </w:r>
    </w:p>
    <w:p>
      <w:pPr>
        <w:spacing w:after="0" w:line="173" w:lineRule="exact"/>
        <w:rPr>
          <w:rFonts w:ascii="Times New Roman" w:cs="Times New Roman" w:eastAsia="Times New Roman" w:hAnsi="Times New Roman"/>
          <w:sz w:val="18"/>
          <w:szCs w:val="18"/>
          <w:color w:val="auto"/>
        </w:rPr>
      </w:pPr>
    </w:p>
    <w:p>
      <w:pPr>
        <w:jc w:val="both"/>
        <w:ind w:left="-980" w:firstLine="980"/>
        <w:spacing w:after="0" w:line="252" w:lineRule="auto"/>
        <w:tabs>
          <w:tab w:leader="none" w:pos="3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Cybersecurity. </w:t>
      </w:r>
      <w:r>
        <w:rPr>
          <w:rFonts w:ascii="Times New Roman" w:cs="Times New Roman" w:eastAsia="Times New Roman" w:hAnsi="Times New Roman"/>
          <w:sz w:val="18"/>
          <w:szCs w:val="18"/>
          <w:color w:val="auto"/>
        </w:rPr>
        <w:t>The Company and the Subsidiaries have a valid right to access and use all computer systems, networks, hardware,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databases, websites and equipment used to process, store, maintain and operate data, information and functions used in connection with the business of the Company and the Subsidiaries (the “IT Systems”); the IT Systems are reasonably adequate for, and operate and perform in all material respects as required in connection with, the operation of the business of the Company and the Subsidiaries as currently conducted, free and clear, to the Company’s knowledge, of all bugs, errors, defects, Trojan horses, time bombs, malware and other corruptants, except, in each case, as would not reasonably be expected to, individually or in the aggregate, have a Material Adverse Effect. The Company and the Subsidiaries have implemented and maintain commercially reasonable controls, policies, procedures, and safeguards to maintain and protect their material confidential information and the integrity, continuous operation, redundancy and security of all material IT Systems and data (including all personal, personally identifiable, sensitive, confidential or regulated data (“Personal Data”)) used in connection with their businesses, and to the Company’s knowledge there have been no breaches, violations, outages or unauthorized uses of or accesses to same, except, in each case, as would not reasonably be expected to, individually or in the aggregate, have a Material Adverse Effect.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reasonably be expected to, individually or in the aggregate, have a Material Adverse Effect;</w:t>
      </w:r>
    </w:p>
    <w:p>
      <w:pPr>
        <w:spacing w:after="0" w:line="195" w:lineRule="exact"/>
        <w:rPr>
          <w:rFonts w:ascii="Times New Roman" w:cs="Times New Roman" w:eastAsia="Times New Roman" w:hAnsi="Times New Roman"/>
          <w:sz w:val="18"/>
          <w:szCs w:val="18"/>
          <w:color w:val="auto"/>
        </w:rPr>
      </w:pPr>
    </w:p>
    <w:p>
      <w:pPr>
        <w:ind w:left="-980" w:firstLine="980"/>
        <w:spacing w:after="0" w:line="284" w:lineRule="auto"/>
        <w:tabs>
          <w:tab w:leader="none" w:pos="41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Reliance</w:t>
      </w:r>
      <w:r>
        <w:rPr>
          <w:rFonts w:ascii="Times New Roman" w:cs="Times New Roman" w:eastAsia="Times New Roman" w:hAnsi="Times New Roman"/>
          <w:sz w:val="18"/>
          <w:szCs w:val="18"/>
          <w:color w:val="auto"/>
        </w:rPr>
        <w:t>. The Company has not relied upon the Underwriters or legal counsel for the Underwriters for any legal, tax or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advice in connection with the offering and sale of the Securities;</w:t>
      </w:r>
    </w:p>
    <w:p>
      <w:pPr>
        <w:spacing w:after="0" w:line="158" w:lineRule="exact"/>
        <w:rPr>
          <w:rFonts w:ascii="Times New Roman" w:cs="Times New Roman" w:eastAsia="Times New Roman" w:hAnsi="Times New Roman"/>
          <w:sz w:val="18"/>
          <w:szCs w:val="18"/>
          <w:color w:val="auto"/>
        </w:rPr>
      </w:pPr>
    </w:p>
    <w:p>
      <w:pPr>
        <w:jc w:val="both"/>
        <w:ind w:left="-980" w:firstLine="980"/>
        <w:spacing w:after="0" w:line="267" w:lineRule="auto"/>
        <w:tabs>
          <w:tab w:leader="none" w:pos="33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FINRA</w:t>
      </w:r>
      <w:r>
        <w:rPr>
          <w:rFonts w:ascii="Times New Roman" w:cs="Times New Roman" w:eastAsia="Times New Roman" w:hAnsi="Times New Roman"/>
          <w:sz w:val="18"/>
          <w:szCs w:val="18"/>
          <w:color w:val="auto"/>
        </w:rPr>
        <w:t>. None of the Company, the Subsidiaries, or their respective controlled affiliates (i) is required to register as a “broker” or “dealer”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accordance with the provisions of the Exchange Act, or (ii) directly, or indirectly through one or more intermediaries, controls or has any other association with (within the meaning of Article 1 of the Bylaws of FINRA) any member firm of FINRA;</w:t>
      </w:r>
    </w:p>
    <w:p>
      <w:pPr>
        <w:spacing w:after="0" w:line="173" w:lineRule="exact"/>
        <w:rPr>
          <w:rFonts w:ascii="Times New Roman" w:cs="Times New Roman" w:eastAsia="Times New Roman" w:hAnsi="Times New Roman"/>
          <w:sz w:val="18"/>
          <w:szCs w:val="18"/>
          <w:color w:val="auto"/>
        </w:rPr>
      </w:pPr>
    </w:p>
    <w:p>
      <w:pPr>
        <w:jc w:val="both"/>
        <w:ind w:left="-980" w:firstLine="980"/>
        <w:spacing w:after="0" w:line="255" w:lineRule="auto"/>
        <w:tabs>
          <w:tab w:leader="none" w:pos="33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 The Company is in compliance in all material respects with all presently applicable provisions of ERISA; no “reportable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ERISA) has occurred with respect to any “pension plan” (as defined in ERISA) for which the Company would have any liability; the Company has not incurred and does not expect to incur liability under (i) Title IV of ERISA with respect to termination of, or withdrawal from, any “pension plan” or (ii) Section 412 or 4971 of the Internal Revenue Code of 1986, as amended, including the regulations and published interpretations thereunder (the “Code”); each “pension plan” for which the Company would have any liability that is intended to be qualified under Section 401(a) of the Code is so qualified and nothing has occurred, whether by action or by failure to act, which would cause the loss of such qualification; and participation by “benefit plan investors” in the Company has at no time been “significant” for purposes of Section 2510.3-101(f) of the Regulations of the U.S. Department of Labor, as modified by Section 3(42) of ERISA;</w:t>
      </w:r>
    </w:p>
    <w:p>
      <w:pPr>
        <w:spacing w:after="0" w:line="184" w:lineRule="exact"/>
        <w:rPr>
          <w:rFonts w:ascii="Times New Roman" w:cs="Times New Roman" w:eastAsia="Times New Roman" w:hAnsi="Times New Roman"/>
          <w:sz w:val="18"/>
          <w:szCs w:val="18"/>
          <w:color w:val="auto"/>
        </w:rPr>
      </w:pPr>
    </w:p>
    <w:p>
      <w:pPr>
        <w:ind w:left="-980" w:firstLine="980"/>
        <w:spacing w:after="0" w:line="284" w:lineRule="auto"/>
        <w:tabs>
          <w:tab w:leader="none" w:pos="3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Labor Disputes</w:t>
      </w:r>
      <w:r>
        <w:rPr>
          <w:rFonts w:ascii="Times New Roman" w:cs="Times New Roman" w:eastAsia="Times New Roman" w:hAnsi="Times New Roman"/>
          <w:sz w:val="18"/>
          <w:szCs w:val="18"/>
          <w:color w:val="auto"/>
        </w:rPr>
        <w:t>. No labor disturbance by or dispute with employees of the Company or any Subsidiary exists or, to the knowledge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is threatened, which would be reasonably be expected to result in a Material Adverse Effect;</w:t>
      </w:r>
    </w:p>
    <w:p>
      <w:pPr>
        <w:spacing w:after="0" w:line="158" w:lineRule="exact"/>
        <w:rPr>
          <w:sz w:val="20"/>
          <w:szCs w:val="20"/>
          <w:color w:val="auto"/>
        </w:rPr>
      </w:pPr>
    </w:p>
    <w:p>
      <w:pPr>
        <w:jc w:val="both"/>
        <w:ind w:left="-980" w:firstLine="980"/>
        <w:spacing w:after="0" w:line="267" w:lineRule="auto"/>
        <w:tabs>
          <w:tab w:leader="none" w:pos="3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Certificates</w:t>
      </w:r>
      <w:r>
        <w:rPr>
          <w:rFonts w:ascii="Times New Roman" w:cs="Times New Roman" w:eastAsia="Times New Roman" w:hAnsi="Times New Roman"/>
          <w:sz w:val="18"/>
          <w:szCs w:val="18"/>
          <w:color w:val="auto"/>
        </w:rPr>
        <w:t>. Any certificate signed by any officer of the Company delivered to the Representatives or to counsel for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or in connection with this Agreement shall be deemed a representation and warranty by the Company to the Underwriters as to the matters covered thereby;</w:t>
      </w:r>
    </w:p>
    <w:p>
      <w:pPr>
        <w:spacing w:after="0" w:line="173" w:lineRule="exact"/>
        <w:rPr>
          <w:rFonts w:ascii="Times New Roman" w:cs="Times New Roman" w:eastAsia="Times New Roman" w:hAnsi="Times New Roman"/>
          <w:sz w:val="18"/>
          <w:szCs w:val="18"/>
          <w:color w:val="auto"/>
        </w:rPr>
      </w:pPr>
    </w:p>
    <w:p>
      <w:pPr>
        <w:jc w:val="both"/>
        <w:ind w:left="-980" w:firstLine="980"/>
        <w:spacing w:after="0" w:line="267"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Off-Balance Sheet Transactions</w:t>
      </w:r>
      <w:r>
        <w:rPr>
          <w:rFonts w:ascii="Times New Roman" w:cs="Times New Roman" w:eastAsia="Times New Roman" w:hAnsi="Times New Roman"/>
          <w:sz w:val="18"/>
          <w:szCs w:val="18"/>
          <w:color w:val="auto"/>
        </w:rPr>
        <w:t>. Except as otherwise disclosed in the Registration Statement, the Pricing Disclosure Package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the Company and its consolidated Subsidiaries have no off-balance sheet transactions, arrangements, obligations (including contingent obligations), or any other similar relationships with unconsolidated entities or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414655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2" w:right="339" w:bottom="1440" w:gutter="0" w:footer="0" w:header="0"/>
        </w:sectPr>
      </w:pPr>
    </w:p>
    <w:bookmarkStart w:id="16" w:name="page17"/>
    <w:bookmarkEnd w:id="16"/>
    <w:p>
      <w:pPr>
        <w:jc w:val="both"/>
        <w:ind w:left="-656" w:firstLine="980"/>
        <w:spacing w:after="0" w:line="261" w:lineRule="auto"/>
        <w:tabs>
          <w:tab w:leader="none" w:pos="7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Assets. </w:t>
      </w:r>
      <w:r>
        <w:rPr>
          <w:rFonts w:ascii="Times New Roman" w:cs="Times New Roman" w:eastAsia="Times New Roman" w:hAnsi="Times New Roman"/>
          <w:sz w:val="18"/>
          <w:szCs w:val="18"/>
          <w:color w:val="auto"/>
        </w:rPr>
        <w:t>Except such as are disclosed in the Registration Statement, the Pricing Disclosure Package and the Prospectus,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Date, the Company and the Subsidiaries will possess, or have the right to use, all of the material assets, tangible and intangible, that they require to conduct their respective businesses as presently conducted, and there are no material assets reasonably necessary for the conduct of their businesses as presently conducted that will not be transferred, licensed or leased to them as of the Closing Date;</w:t>
      </w:r>
    </w:p>
    <w:p>
      <w:pPr>
        <w:spacing w:after="0" w:line="179" w:lineRule="exact"/>
        <w:rPr>
          <w:rFonts w:ascii="Times New Roman" w:cs="Times New Roman" w:eastAsia="Times New Roman" w:hAnsi="Times New Roman"/>
          <w:sz w:val="18"/>
          <w:szCs w:val="18"/>
          <w:color w:val="auto"/>
        </w:rPr>
      </w:pPr>
    </w:p>
    <w:p>
      <w:pPr>
        <w:jc w:val="both"/>
        <w:ind w:left="-656" w:firstLine="980"/>
        <w:spacing w:after="0" w:line="261" w:lineRule="auto"/>
        <w:tabs>
          <w:tab w:leader="none" w:pos="7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Relationships</w:t>
      </w:r>
      <w:r>
        <w:rPr>
          <w:rFonts w:ascii="Times New Roman" w:cs="Times New Roman" w:eastAsia="Times New Roman" w:hAnsi="Times New Roman"/>
          <w:sz w:val="18"/>
          <w:szCs w:val="18"/>
          <w:color w:val="auto"/>
        </w:rPr>
        <w:t>. No relationship, direct or indirect, exists between or among the Company or any Subsidiary, on the one hand,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officers, stockholders, customers or suppliers of the Company or any Subsidiary, on the other hand, which would be required by the Securities Act to be described in a prospectus included or incorporated by reference in a registration statement on Form N-2 under the Securities Act, which is not so described in the Registration Statement, the Pricing Disclosure Package and the Prospectus;</w:t>
      </w:r>
    </w:p>
    <w:p>
      <w:pPr>
        <w:spacing w:after="0" w:line="179" w:lineRule="exact"/>
        <w:rPr>
          <w:rFonts w:ascii="Times New Roman" w:cs="Times New Roman" w:eastAsia="Times New Roman" w:hAnsi="Times New Roman"/>
          <w:sz w:val="18"/>
          <w:szCs w:val="18"/>
          <w:color w:val="auto"/>
        </w:rPr>
      </w:pPr>
    </w:p>
    <w:p>
      <w:pPr>
        <w:jc w:val="both"/>
        <w:ind w:left="-656" w:firstLine="980"/>
        <w:spacing w:after="0" w:line="267" w:lineRule="auto"/>
        <w:tabs>
          <w:tab w:leader="none" w:pos="7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Related Party Transactions. </w:t>
      </w:r>
      <w:r>
        <w:rPr>
          <w:rFonts w:ascii="Times New Roman" w:cs="Times New Roman" w:eastAsia="Times New Roman" w:hAnsi="Times New Roman"/>
          <w:sz w:val="18"/>
          <w:szCs w:val="18"/>
          <w:color w:val="auto"/>
        </w:rPr>
        <w:t>Except as disclosed in the Registration Statement, the Pricing Disclosure Package and the Prospectus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caption “Certain Relationships and Related Party Transactions,” the Company and its Subsidiaries have not entered into any transaction with any person which are required to be disclosed under Item 404 of Regulation S-K under the Securities Act;</w:t>
      </w:r>
    </w:p>
    <w:p>
      <w:pPr>
        <w:spacing w:after="0" w:line="173" w:lineRule="exact"/>
        <w:rPr>
          <w:rFonts w:ascii="Times New Roman" w:cs="Times New Roman" w:eastAsia="Times New Roman" w:hAnsi="Times New Roman"/>
          <w:sz w:val="18"/>
          <w:szCs w:val="18"/>
          <w:color w:val="auto"/>
        </w:rPr>
      </w:pPr>
    </w:p>
    <w:p>
      <w:pPr>
        <w:ind w:left="-656" w:right="20" w:firstLine="980"/>
        <w:spacing w:after="0" w:line="284" w:lineRule="auto"/>
        <w:tabs>
          <w:tab w:leader="none" w:pos="65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Securities Laws and Regulations</w:t>
      </w:r>
      <w:r>
        <w:rPr>
          <w:rFonts w:ascii="Times New Roman" w:cs="Times New Roman" w:eastAsia="Times New Roman" w:hAnsi="Times New Roman"/>
          <w:sz w:val="18"/>
          <w:szCs w:val="18"/>
          <w:color w:val="auto"/>
        </w:rPr>
        <w:t>. This Agreement complies in all material respects with all applicable provisions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the Investment Company Act and the rules and regulations promulgated thereunder;</w:t>
      </w:r>
    </w:p>
    <w:p>
      <w:pPr>
        <w:spacing w:after="0" w:line="158" w:lineRule="exact"/>
        <w:rPr>
          <w:rFonts w:ascii="Times New Roman" w:cs="Times New Roman" w:eastAsia="Times New Roman" w:hAnsi="Times New Roman"/>
          <w:sz w:val="18"/>
          <w:szCs w:val="18"/>
          <w:color w:val="auto"/>
        </w:rPr>
      </w:pPr>
    </w:p>
    <w:p>
      <w:pPr>
        <w:jc w:val="both"/>
        <w:ind w:left="-656" w:firstLine="980"/>
        <w:spacing w:after="0" w:line="261" w:lineRule="auto"/>
        <w:tabs>
          <w:tab w:leader="none" w:pos="7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Offering Materials</w:t>
      </w:r>
      <w:r>
        <w:rPr>
          <w:rFonts w:ascii="Times New Roman" w:cs="Times New Roman" w:eastAsia="Times New Roman" w:hAnsi="Times New Roman"/>
          <w:sz w:val="18"/>
          <w:szCs w:val="18"/>
          <w:color w:val="auto"/>
        </w:rPr>
        <w:t>. The Company has not distributed and will not distribute, prior to the later of the Closing Date and the completion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Underwriters’ distribution of the Securities, any offering material in connection with the offering and sale of the Securities other than the Registration Statement, the Preliminary Prospectus contained in the Pricing Disclosure Package, the Prospectus, any Issuer Free Writing Prospectus reviewed and consented to by the Representatives and included in Schedule 2 hereto;</w:t>
      </w:r>
    </w:p>
    <w:p>
      <w:pPr>
        <w:spacing w:after="0" w:line="179" w:lineRule="exact"/>
        <w:rPr>
          <w:rFonts w:ascii="Times New Roman" w:cs="Times New Roman" w:eastAsia="Times New Roman" w:hAnsi="Times New Roman"/>
          <w:sz w:val="18"/>
          <w:szCs w:val="18"/>
          <w:color w:val="auto"/>
        </w:rPr>
      </w:pPr>
    </w:p>
    <w:p>
      <w:pPr>
        <w:jc w:val="both"/>
        <w:ind w:left="-656" w:firstLine="980"/>
        <w:spacing w:after="0" w:line="261" w:lineRule="auto"/>
        <w:tabs>
          <w:tab w:leader="none" w:pos="7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Prior Sales</w:t>
      </w:r>
      <w:r>
        <w:rPr>
          <w:rFonts w:ascii="Times New Roman" w:cs="Times New Roman" w:eastAsia="Times New Roman" w:hAnsi="Times New Roman"/>
          <w:sz w:val="18"/>
          <w:szCs w:val="18"/>
          <w:color w:val="auto"/>
        </w:rPr>
        <w:t>. All offers and sales of the Company’s capital stock and debt or other securities prior to the date hereof were made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or were the subject of an available exemption from the Securities Act and all other applicable state and federal laws or regulations, or any actions under the Securities Act or any state or federal laws or regulations in respect of any such offers or sales are effectively barred by effective waivers or statutes of limitation; and</w:t>
      </w:r>
    </w:p>
    <w:p>
      <w:pPr>
        <w:spacing w:after="0" w:line="179"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Emerging Growth Company</w:t>
      </w:r>
      <w:r>
        <w:rPr>
          <w:rFonts w:ascii="Times New Roman" w:cs="Times New Roman" w:eastAsia="Times New Roman" w:hAnsi="Times New Roman"/>
          <w:sz w:val="18"/>
          <w:szCs w:val="18"/>
          <w:color w:val="auto"/>
        </w:rPr>
        <w:t>. The Company is an “emerging growth company,” as defined in Section 2(a) of the Securities Act.</w:t>
      </w:r>
    </w:p>
    <w:p>
      <w:pPr>
        <w:spacing w:after="0" w:line="22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Underwriter that:</w:t>
      </w:r>
    </w:p>
    <w:p>
      <w:pPr>
        <w:spacing w:after="0" w:line="223" w:lineRule="exact"/>
        <w:rPr>
          <w:rFonts w:ascii="Times New Roman" w:cs="Times New Roman" w:eastAsia="Times New Roman" w:hAnsi="Times New Roman"/>
          <w:sz w:val="18"/>
          <w:szCs w:val="18"/>
          <w:color w:val="auto"/>
        </w:rPr>
      </w:pPr>
    </w:p>
    <w:p>
      <w:pPr>
        <w:jc w:val="both"/>
        <w:ind w:left="-656" w:firstLine="980"/>
        <w:spacing w:after="0" w:line="254" w:lineRule="auto"/>
        <w:tabs>
          <w:tab w:leader="none" w:pos="5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Company will file the final Prospectus with the Commission within the time periods specified by Rule 424 and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430B under the Securities Act; will file any Issuer Free Writing Prospectus (including the Pricing Term Sheet referred to in Annex A hereto) to the extent required by Rule 433 and/or Rule 497 under the Securities Act;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will furnish electronic copies of the Prospectus and each Issuer Free Writing Prospectus to the Underwriters in New York City prior to 5:00 P.M., New York City time, on the business day next succeeding the date of this Agreement, with written copies of the Prospectus to follow as soon as practicable but in no event later than 5:00 P.M., New York City time, on the second business day succeeding the date of this Agreement in such quantities as the Representatives may reasonably request. The Company has paid the registration fee for this offering pursuant to Rule 457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424180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7" w:name="page18"/>
    <w:bookmarkEnd w:id="17"/>
    <w:p>
      <w:pPr>
        <w:jc w:val="both"/>
        <w:ind w:left="-8" w:firstLine="980"/>
        <w:spacing w:after="0" w:line="257" w:lineRule="auto"/>
        <w:tabs>
          <w:tab w:leader="none" w:pos="123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Copies. </w:t>
      </w:r>
      <w:r>
        <w:rPr>
          <w:rFonts w:ascii="Times New Roman" w:cs="Times New Roman" w:eastAsia="Times New Roman" w:hAnsi="Times New Roman"/>
          <w:sz w:val="18"/>
          <w:szCs w:val="18"/>
          <w:color w:val="auto"/>
        </w:rPr>
        <w:t>The Company will deliver, without charge, (i) to the Representatives, electronic signed copies of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as 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as the Representatives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in connection with sales of the Securities by any Underwriter or dealer.</w:t>
      </w:r>
    </w:p>
    <w:p>
      <w:pPr>
        <w:spacing w:after="0" w:line="182" w:lineRule="exact"/>
        <w:rPr>
          <w:rFonts w:ascii="Times New Roman" w:cs="Times New Roman" w:eastAsia="Times New Roman" w:hAnsi="Times New Roman"/>
          <w:sz w:val="18"/>
          <w:szCs w:val="18"/>
          <w:color w:val="auto"/>
        </w:rPr>
      </w:pPr>
    </w:p>
    <w:p>
      <w:pPr>
        <w:jc w:val="both"/>
        <w:ind w:left="-8" w:firstLine="980"/>
        <w:spacing w:after="0" w:line="261" w:lineRule="auto"/>
        <w:tabs>
          <w:tab w:leader="none" w:pos="124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Supplements. </w:t>
      </w:r>
      <w:r>
        <w:rPr>
          <w:rFonts w:ascii="Times New Roman" w:cs="Times New Roman" w:eastAsia="Times New Roman" w:hAnsi="Times New Roman"/>
          <w:sz w:val="18"/>
          <w:szCs w:val="18"/>
          <w:color w:val="auto"/>
        </w:rPr>
        <w:t>Before using, authorizing, approving, referring to, or filing any amendment or supplement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or the Prospectus, the Company will furnish to the Representatives and counsel for the Underwriters a copy of the proposed amendment or supplement for review and will not use, authorize, approve, refer to, or file any such proposed amendment or supplement to which the Representatives reasonably objects in a timely manner.</w:t>
      </w:r>
    </w:p>
    <w:p>
      <w:pPr>
        <w:spacing w:after="0" w:line="179" w:lineRule="exact"/>
        <w:rPr>
          <w:rFonts w:ascii="Times New Roman" w:cs="Times New Roman" w:eastAsia="Times New Roman" w:hAnsi="Times New Roman"/>
          <w:sz w:val="18"/>
          <w:szCs w:val="18"/>
          <w:color w:val="auto"/>
        </w:rPr>
      </w:pPr>
    </w:p>
    <w:p>
      <w:pPr>
        <w:ind w:left="-8" w:firstLine="980"/>
        <w:spacing w:after="0" w:line="262" w:lineRule="auto"/>
        <w:tabs>
          <w:tab w:leader="none" w:pos="121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the Representatives. </w:t>
      </w:r>
      <w:r>
        <w:rPr>
          <w:rFonts w:ascii="Times New Roman" w:cs="Times New Roman" w:eastAsia="Times New Roman" w:hAnsi="Times New Roman"/>
          <w:sz w:val="18"/>
          <w:szCs w:val="18"/>
          <w:color w:val="auto"/>
        </w:rPr>
        <w:t>The Company will advise the Representatives promptly, and confirm such advice in writing, (i) when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to the Registration Statement has been filed or becomes effective;</w:t>
      </w:r>
    </w:p>
    <w:p>
      <w:pPr>
        <w:jc w:val="both"/>
        <w:ind w:left="-8" w:firstLine="8"/>
        <w:spacing w:after="0" w:line="251" w:lineRule="auto"/>
        <w:tabs>
          <w:tab w:leader="none" w:pos="2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supplement to the Prospectus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the Pricing Disclosure Package, or the Prospectus, or the initiation or threatening of any proceeding for that purpose or pursuant to Section 8A of the Securities Act; (v) of the occurrence of any event or development within the Prospectus Delivery Period as a result of which the Prospectus or the Pricing Disclosure Package, as then amended or supplemented, would include any untrue statement of a material fact or omit to state a material fact necessary in order to make the statements therein, in the light of the circumstances existing when the Prospectus or the Pricing Disclosure Package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or the Prospectus or suspending any such qualification of the Securities and, if any such order is issued, will use commercially reasonable efforts to obtain as soon as possible the withdrawal thereof.</w:t>
      </w:r>
    </w:p>
    <w:p>
      <w:pPr>
        <w:spacing w:after="0" w:line="189" w:lineRule="exact"/>
        <w:rPr>
          <w:rFonts w:ascii="Times New Roman" w:cs="Times New Roman" w:eastAsia="Times New Roman" w:hAnsi="Times New Roman"/>
          <w:sz w:val="18"/>
          <w:szCs w:val="18"/>
          <w:color w:val="auto"/>
        </w:rPr>
      </w:pPr>
    </w:p>
    <w:p>
      <w:pPr>
        <w:jc w:val="both"/>
        <w:ind w:left="-8" w:firstLine="980"/>
        <w:spacing w:after="0" w:line="252" w:lineRule="auto"/>
        <w:tabs>
          <w:tab w:leader="none" w:pos="120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Ongoing Compliance. </w:t>
      </w:r>
      <w:r>
        <w:rPr>
          <w:rFonts w:ascii="Times New Roman" w:cs="Times New Roman" w:eastAsia="Times New Roman" w:hAnsi="Times New Roman"/>
          <w:sz w:val="18"/>
          <w:szCs w:val="18"/>
          <w:color w:val="auto"/>
        </w:rPr>
        <w:t>(1) If during the Prospectus Delivery Period (i) any event or development shall occur or condition shall exist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428625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18" w:name="page19"/>
    <w:bookmarkEnd w:id="18"/>
    <w:p>
      <w:pPr>
        <w:jc w:val="both"/>
        <w:ind w:left="-980" w:firstLine="980"/>
        <w:spacing w:after="0" w:line="258" w:lineRule="auto"/>
        <w:tabs>
          <w:tab w:leader="none" w:pos="23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Blue Sky Compliance. </w:t>
      </w:r>
      <w:r>
        <w:rPr>
          <w:rFonts w:ascii="Times New Roman" w:cs="Times New Roman" w:eastAsia="Times New Roman" w:hAnsi="Times New Roman"/>
          <w:sz w:val="18"/>
          <w:szCs w:val="18"/>
          <w:color w:val="auto"/>
        </w:rPr>
        <w:t>The Company will use commercially reasonable efforts, in cooperation with the Representatives, to qualify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Securities for offer and sale under the securities or blue sky laws of such jurisdictions as the Representatives shall reasonably request and will continue such qualifications in effect so long as required for distribution of the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83" w:lineRule="exact"/>
        <w:rPr>
          <w:rFonts w:ascii="Times New Roman" w:cs="Times New Roman" w:eastAsia="Times New Roman" w:hAnsi="Times New Roman"/>
          <w:sz w:val="18"/>
          <w:szCs w:val="18"/>
          <w:color w:val="auto"/>
        </w:rPr>
      </w:pPr>
    </w:p>
    <w:p>
      <w:pPr>
        <w:jc w:val="both"/>
        <w:ind w:left="-980" w:firstLine="980"/>
        <w:spacing w:after="0" w:line="258" w:lineRule="auto"/>
        <w:tabs>
          <w:tab w:leader="none" w:pos="2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Earning Statement</w:t>
      </w:r>
      <w:r>
        <w:rPr>
          <w:rFonts w:ascii="Times New Roman" w:cs="Times New Roman" w:eastAsia="Times New Roman" w:hAnsi="Times New Roman"/>
          <w:sz w:val="18"/>
          <w:szCs w:val="18"/>
          <w:color w:val="auto"/>
        </w:rPr>
        <w:t>. The Company will make generally available to its security holders and the Representatives as soon as practicable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will be deemed to have complied with such requirement by filing such an earning statement on the Commission’s Electronic Data Gathering, Analysis, and Retrieval system (or any successor system) (“EDGAR”).</w:t>
      </w:r>
    </w:p>
    <w:p>
      <w:pPr>
        <w:spacing w:after="0" w:line="183" w:lineRule="exact"/>
        <w:rPr>
          <w:rFonts w:ascii="Times New Roman" w:cs="Times New Roman" w:eastAsia="Times New Roman" w:hAnsi="Times New Roman"/>
          <w:sz w:val="18"/>
          <w:szCs w:val="18"/>
          <w:color w:val="auto"/>
        </w:rPr>
      </w:pPr>
    </w:p>
    <w:p>
      <w:pPr>
        <w:jc w:val="both"/>
        <w:ind w:left="-980" w:firstLine="980"/>
        <w:spacing w:after="0" w:line="261" w:lineRule="auto"/>
        <w:tabs>
          <w:tab w:leader="none" w:pos="2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Through the Closing Date, the Company will not offer, sell, contract to sell, pledge, grant any option to purchase, make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 sale or otherwise transfer or dispose of, directly or indirectly, or file with or confidentially submit to the Commission a registration statement under the Securities Act relating to any securities of the Company that are substantially similar to the Securities, or publicly disclose the intention to make any such offer, sale, pledge, disposition or filing, without the prior written consent of the Representatives.</w:t>
      </w:r>
    </w:p>
    <w:p>
      <w:pPr>
        <w:spacing w:after="0" w:line="179" w:lineRule="exact"/>
        <w:rPr>
          <w:rFonts w:ascii="Times New Roman" w:cs="Times New Roman" w:eastAsia="Times New Roman" w:hAnsi="Times New Roman"/>
          <w:sz w:val="18"/>
          <w:szCs w:val="18"/>
          <w:color w:val="auto"/>
        </w:rPr>
      </w:pPr>
    </w:p>
    <w:p>
      <w:pPr>
        <w:ind w:left="-980" w:firstLine="980"/>
        <w:spacing w:after="0" w:line="284" w:lineRule="auto"/>
        <w:tabs>
          <w:tab w:leader="none" w:pos="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apply the net proceeds from the sale of the Securities in all material respects as described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Disclosure Package and the Prospectus under the heading “Use of Proceeds.”</w:t>
      </w:r>
    </w:p>
    <w:p>
      <w:pPr>
        <w:spacing w:after="0" w:line="158" w:lineRule="exact"/>
        <w:rPr>
          <w:rFonts w:ascii="Times New Roman" w:cs="Times New Roman" w:eastAsia="Times New Roman" w:hAnsi="Times New Roman"/>
          <w:sz w:val="18"/>
          <w:szCs w:val="18"/>
          <w:color w:val="auto"/>
        </w:rPr>
      </w:pPr>
    </w:p>
    <w:p>
      <w:pPr>
        <w:ind w:left="-980" w:firstLine="980"/>
        <w:spacing w:after="0" w:line="284" w:lineRule="auto"/>
        <w:tabs>
          <w:tab w:leader="none" w:pos="20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DTC. </w:t>
      </w:r>
      <w:r>
        <w:rPr>
          <w:rFonts w:ascii="Times New Roman" w:cs="Times New Roman" w:eastAsia="Times New Roman" w:hAnsi="Times New Roman"/>
          <w:sz w:val="18"/>
          <w:szCs w:val="18"/>
          <w:color w:val="auto"/>
        </w:rPr>
        <w:t>The Company will cooperate with the Representatives and use its commercially reasonable efforts to permit the offered Securities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eligible for clearance and settlement through the facilities of DTC.</w:t>
      </w:r>
    </w:p>
    <w:p>
      <w:pPr>
        <w:spacing w:after="0" w:line="158" w:lineRule="exact"/>
        <w:rPr>
          <w:rFonts w:ascii="Times New Roman" w:cs="Times New Roman" w:eastAsia="Times New Roman" w:hAnsi="Times New Roman"/>
          <w:sz w:val="18"/>
          <w:szCs w:val="18"/>
          <w:color w:val="auto"/>
        </w:rPr>
      </w:pPr>
    </w:p>
    <w:p>
      <w:pPr>
        <w:jc w:val="both"/>
        <w:ind w:left="-980" w:firstLine="980"/>
        <w:spacing w:after="0" w:line="267" w:lineRule="auto"/>
        <w:tabs>
          <w:tab w:leader="none" w:pos="2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or Manipulation. </w:t>
      </w:r>
      <w:r>
        <w:rPr>
          <w:rFonts w:ascii="Times New Roman" w:cs="Times New Roman" w:eastAsia="Times New Roman" w:hAnsi="Times New Roman"/>
          <w:sz w:val="18"/>
          <w:szCs w:val="18"/>
          <w:color w:val="auto"/>
        </w:rPr>
        <w:t>The Company will not take, directly or indirectly, without giving effect to any activities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any action designed, or that would reasonably be expected, to cause or result in any stabilization or manipulation of the price of the Securities.</w:t>
      </w:r>
    </w:p>
    <w:p>
      <w:pPr>
        <w:spacing w:after="0" w:line="173" w:lineRule="exact"/>
        <w:rPr>
          <w:rFonts w:ascii="Times New Roman" w:cs="Times New Roman" w:eastAsia="Times New Roman" w:hAnsi="Times New Roman"/>
          <w:sz w:val="18"/>
          <w:szCs w:val="18"/>
          <w:color w:val="auto"/>
        </w:rPr>
      </w:pPr>
    </w:p>
    <w:p>
      <w:pPr>
        <w:jc w:val="both"/>
        <w:ind w:left="-980" w:firstLine="980"/>
        <w:spacing w:after="0" w:line="258" w:lineRule="auto"/>
        <w:tabs>
          <w:tab w:leader="none" w:pos="20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Reports. </w:t>
      </w:r>
      <w:r>
        <w:rPr>
          <w:rFonts w:ascii="Times New Roman" w:cs="Times New Roman" w:eastAsia="Times New Roman" w:hAnsi="Times New Roman"/>
          <w:sz w:val="18"/>
          <w:szCs w:val="18"/>
          <w:color w:val="auto"/>
        </w:rPr>
        <w:t>For a period of one year from the date of this Agreement, so long as the Securities are outstanding, the Company will furnish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Representatives, as soon as commercially reasonable after the date they are available, copies of all reports or other communications (financial or other) furnished to holders of the Securities,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Company will be deemed to have furnished such reports and financial statements to the Representatives to the extent they are filed on EDGAR.</w:t>
      </w:r>
    </w:p>
    <w:p>
      <w:pPr>
        <w:spacing w:after="0" w:line="183" w:lineRule="exact"/>
        <w:rPr>
          <w:rFonts w:ascii="Times New Roman" w:cs="Times New Roman" w:eastAsia="Times New Roman" w:hAnsi="Times New Roman"/>
          <w:sz w:val="18"/>
          <w:szCs w:val="18"/>
          <w:color w:val="auto"/>
        </w:rPr>
      </w:pPr>
    </w:p>
    <w:p>
      <w:pPr>
        <w:jc w:val="both"/>
        <w:ind w:left="-980" w:firstLine="980"/>
        <w:spacing w:after="0" w:line="261" w:lineRule="auto"/>
        <w:tabs>
          <w:tab w:leader="none" w:pos="29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Development Company</w:t>
      </w:r>
      <w:r>
        <w:rPr>
          <w:rFonts w:ascii="Times New Roman" w:cs="Times New Roman" w:eastAsia="Times New Roman" w:hAnsi="Times New Roman"/>
          <w:sz w:val="18"/>
          <w:szCs w:val="18"/>
          <w:color w:val="auto"/>
        </w:rPr>
        <w:t>. The Company, during a period of twelve months from the date of the Prospectus, will use commercially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reasonable efforts to maintain its status as a business development company under the Investment Company Act;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Company may change the nature of its business so as to cease to be, or withdraw its election to be treated as, a business development company with the approval of its Board of Directors and a vote of stockholders as required by Section 58 of the Investment Company Act.</w:t>
      </w:r>
    </w:p>
    <w:p>
      <w:pPr>
        <w:spacing w:after="0" w:line="179" w:lineRule="exact"/>
        <w:rPr>
          <w:rFonts w:ascii="Times New Roman" w:cs="Times New Roman" w:eastAsia="Times New Roman" w:hAnsi="Times New Roman"/>
          <w:sz w:val="18"/>
          <w:szCs w:val="18"/>
          <w:color w:val="auto"/>
        </w:rPr>
      </w:pPr>
    </w:p>
    <w:p>
      <w:pPr>
        <w:jc w:val="both"/>
        <w:ind w:left="-980" w:firstLine="980"/>
        <w:spacing w:after="0" w:line="267" w:lineRule="auto"/>
        <w:tabs>
          <w:tab w:leader="none" w:pos="2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Regulated Investment Company. </w:t>
      </w:r>
      <w:r>
        <w:rPr>
          <w:rFonts w:ascii="Times New Roman" w:cs="Times New Roman" w:eastAsia="Times New Roman" w:hAnsi="Times New Roman"/>
          <w:sz w:val="18"/>
          <w:szCs w:val="18"/>
          <w:color w:val="auto"/>
        </w:rPr>
        <w:t>During the twelve-month period following the Closing Date, the Company will use commercially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efforts to conform with the applicable requirements to be treated as a regulated investment company under Subchapter M of the Code for each taxable year during which it is a business development company under the Investment Company Act.</w:t>
      </w:r>
    </w:p>
    <w:p>
      <w:pPr>
        <w:spacing w:after="0" w:line="173" w:lineRule="exact"/>
        <w:rPr>
          <w:rFonts w:ascii="Times New Roman" w:cs="Times New Roman" w:eastAsia="Times New Roman" w:hAnsi="Times New Roman"/>
          <w:sz w:val="18"/>
          <w:szCs w:val="18"/>
          <w:color w:val="auto"/>
        </w:rPr>
      </w:pPr>
    </w:p>
    <w:p>
      <w:pPr>
        <w:jc w:val="both"/>
        <w:ind w:left="-980" w:firstLine="980"/>
        <w:spacing w:after="0" w:line="261" w:lineRule="auto"/>
        <w:tabs>
          <w:tab w:leader="none" w:pos="2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Compliance Reviews. </w:t>
      </w:r>
      <w:r>
        <w:rPr>
          <w:rFonts w:ascii="Times New Roman" w:cs="Times New Roman" w:eastAsia="Times New Roman" w:hAnsi="Times New Roman"/>
          <w:sz w:val="18"/>
          <w:szCs w:val="18"/>
          <w:color w:val="auto"/>
        </w:rPr>
        <w:t>The Company will retain qualified accountants and qualified tax experts to (i) test procedures and conduct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compliance reviews designed to determine compliance with the regulated investment company provisions of the Code and (ii) otherwise assist the Company in monitoring appropriate accounting systems and procedures designed to determine compliance with the regulated investment company provisions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418465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2" w:right="339" w:bottom="1440" w:gutter="0" w:footer="0" w:header="0"/>
        </w:sectPr>
      </w:pPr>
    </w:p>
    <w:bookmarkStart w:id="19" w:name="page20"/>
    <w:bookmarkEnd w:id="19"/>
    <w:p>
      <w:pPr>
        <w:jc w:val="both"/>
        <w:ind w:left="-656" w:firstLine="980"/>
        <w:spacing w:after="0" w:line="254" w:lineRule="auto"/>
        <w:tabs>
          <w:tab w:leader="none" w:pos="59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Controls. </w:t>
      </w:r>
      <w:r>
        <w:rPr>
          <w:rFonts w:ascii="Times New Roman" w:cs="Times New Roman" w:eastAsia="Times New Roman" w:hAnsi="Times New Roman"/>
          <w:sz w:val="18"/>
          <w:szCs w:val="18"/>
          <w:color w:val="auto"/>
        </w:rPr>
        <w:t>The Company has established and will maintain a system of internal accounting controls sufficient to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assurances that (A) transactions are executed in accordance with management’s authorization; (B) transactions are recorded as necessary to permit preparation of financial statements in conformity with GAAP, and to maintain accountability for assets; (C) access to the Company’s consolidated assets is permitted only in accordance with management’s authorization; (D) the recorded accountability for assets is compared with the existing assets at reasonable intervals and appropriate action is taken with respect to any differences; (E) material information relating to the Company and the assets managed by the Company is promptly made known to the officers responsible for establishing and maintaining the system of internal accounting controls; and (F) any significant deficiencies or weaknesses in the design or operation of internal accounting controls that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w:t>
      </w:r>
    </w:p>
    <w:p>
      <w:pPr>
        <w:spacing w:after="0" w:line="185" w:lineRule="exact"/>
        <w:rPr>
          <w:rFonts w:ascii="Times New Roman" w:cs="Times New Roman" w:eastAsia="Times New Roman" w:hAnsi="Times New Roman"/>
          <w:sz w:val="18"/>
          <w:szCs w:val="18"/>
          <w:color w:val="auto"/>
        </w:rPr>
      </w:pPr>
    </w:p>
    <w:p>
      <w:pPr>
        <w:jc w:val="both"/>
        <w:ind w:left="-656" w:firstLine="980"/>
        <w:spacing w:after="0" w:line="256" w:lineRule="auto"/>
        <w:tabs>
          <w:tab w:leader="none" w:pos="5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w:t>
      </w:r>
      <w:r>
        <w:rPr>
          <w:rFonts w:ascii="Times New Roman" w:cs="Times New Roman" w:eastAsia="Times New Roman" w:hAnsi="Times New Roman"/>
          <w:sz w:val="18"/>
          <w:szCs w:val="18"/>
          <w:color w:val="auto"/>
        </w:rPr>
        <w:t>. The Company represents and agrees that, without the prior consent of the Representatives (i) it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 any offering material other than the Registration Statement, the Pricing Disclosure Package, the Prospectus or the information set forth on Schedule 2 hereto, and (ii) it has not made and will not make any offer relating to the Securities that would constitute a “free writing prospectus” as defined in Rule 405 under the Securities Act (other than for the information set forth on Schedule 2 hereto), and which the parties agree, for the purposes of this Agreement, includes (x) any “advertisement” as defined in Rule 482 under the Securities Act and (y) any sales literature, materials or information provided to investors by, or with the approval of, the Company in connection with the marketing of the offering of the Securities, including any in-person road show or investor presentations (including slides and scripts relating thereto) made to investors by or on behalf of the Company.</w:t>
      </w:r>
    </w:p>
    <w:p>
      <w:pPr>
        <w:spacing w:after="0" w:line="184"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warrants and agrees that:</w:t>
      </w:r>
    </w:p>
    <w:p>
      <w:pPr>
        <w:spacing w:after="0" w:line="225" w:lineRule="exact"/>
        <w:rPr>
          <w:rFonts w:ascii="Times New Roman" w:cs="Times New Roman" w:eastAsia="Times New Roman" w:hAnsi="Times New Roman"/>
          <w:sz w:val="18"/>
          <w:szCs w:val="18"/>
          <w:color w:val="auto"/>
        </w:rPr>
      </w:pPr>
    </w:p>
    <w:p>
      <w:pPr>
        <w:jc w:val="both"/>
        <w:ind w:left="-656" w:firstLine="980"/>
        <w:spacing w:after="0" w:line="261" w:lineRule="auto"/>
        <w:tabs>
          <w:tab w:leader="none" w:pos="56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Securities other than materials contained in the Pricing Disclosure Package, the Prospectus, or any other offering materials prepared by or with the prior written consent of the Company.</w:t>
      </w:r>
    </w:p>
    <w:p>
      <w:pPr>
        <w:spacing w:after="0" w:line="179" w:lineRule="exact"/>
        <w:rPr>
          <w:rFonts w:ascii="Times New Roman" w:cs="Times New Roman" w:eastAsia="Times New Roman" w:hAnsi="Times New Roman"/>
          <w:sz w:val="18"/>
          <w:szCs w:val="18"/>
          <w:color w:val="auto"/>
        </w:rPr>
      </w:pPr>
    </w:p>
    <w:p>
      <w:pPr>
        <w:ind w:left="-656" w:firstLine="980"/>
        <w:spacing w:after="0" w:line="282" w:lineRule="auto"/>
        <w:tabs>
          <w:tab w:leader="none" w:pos="5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contemplated by this Agreement (and will promptly notify the Company if any such proceeding against it is initiated during the Prospectus Delivery Period).</w:t>
      </w:r>
    </w:p>
    <w:p>
      <w:pPr>
        <w:spacing w:after="0" w:line="161" w:lineRule="exact"/>
        <w:rPr>
          <w:rFonts w:ascii="Times New Roman" w:cs="Times New Roman" w:eastAsia="Times New Roman" w:hAnsi="Times New Roman"/>
          <w:sz w:val="18"/>
          <w:szCs w:val="18"/>
          <w:color w:val="auto"/>
        </w:rPr>
      </w:pPr>
    </w:p>
    <w:p>
      <w:pPr>
        <w:ind w:left="-656" w:firstLine="656"/>
        <w:spacing w:after="0" w:line="282" w:lineRule="auto"/>
        <w:tabs>
          <w:tab w:leader="none" w:pos="1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xml:space="preserve"> The obligation of each Underwriter to purchase the Securities on the Closing Date as provided herein is subject to the performance by the Company of its covenants and other obligations hereunder and to the following additional conditions:</w:t>
      </w:r>
    </w:p>
    <w:p>
      <w:pPr>
        <w:spacing w:after="0" w:line="159" w:lineRule="exact"/>
        <w:rPr>
          <w:rFonts w:ascii="Times New Roman" w:cs="Times New Roman" w:eastAsia="Times New Roman" w:hAnsi="Times New Roman"/>
          <w:sz w:val="18"/>
          <w:szCs w:val="18"/>
          <w:color w:val="auto"/>
        </w:rPr>
      </w:pPr>
    </w:p>
    <w:p>
      <w:pPr>
        <w:jc w:val="both"/>
        <w:ind w:left="-656" w:firstLine="980"/>
        <w:spacing w:after="0" w:line="257" w:lineRule="auto"/>
        <w:tabs>
          <w:tab w:leader="none" w:pos="58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or any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thereto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and/or Rule 497 under the Securities Act) and in accordance with Section 5(a) hereof; and all requests by the Commission for additional information shall have been complied with to the reasonable satisfaction of the Representatives.</w:t>
      </w:r>
    </w:p>
    <w:p>
      <w:pPr>
        <w:spacing w:after="0" w:line="182" w:lineRule="exact"/>
        <w:rPr>
          <w:rFonts w:ascii="Times New Roman" w:cs="Times New Roman" w:eastAsia="Times New Roman" w:hAnsi="Times New Roman"/>
          <w:sz w:val="18"/>
          <w:szCs w:val="18"/>
          <w:color w:val="auto"/>
        </w:rPr>
      </w:pPr>
    </w:p>
    <w:p>
      <w:pPr>
        <w:jc w:val="both"/>
        <w:ind w:left="-656" w:firstLine="980"/>
        <w:spacing w:after="0" w:line="267" w:lineRule="auto"/>
        <w:tabs>
          <w:tab w:leader="none" w:pos="5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representations and warranties of the Company contained herein shall be true and correct on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 and on and as of the Closing Date; and the statements of the Company and its officers made in any certificates delivered pursuant to this Agreement shall be true and correct on and as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414655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20" w:name="page21"/>
    <w:bookmarkEnd w:id="20"/>
    <w:p>
      <w:pPr>
        <w:jc w:val="both"/>
        <w:ind w:left="-656" w:firstLine="980"/>
        <w:spacing w:after="0" w:line="258" w:lineRule="auto"/>
        <w:tabs>
          <w:tab w:leader="none" w:pos="5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No event or condition of a type described in Section 3(h) hereof shall have occurred or shall exist,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Securities on the Closing Date, on the terms and in the manner contemplated by this Agreement, the Pricing Disclosure Package and the Prospectus.</w:t>
      </w:r>
    </w:p>
    <w:p>
      <w:pPr>
        <w:spacing w:after="0" w:line="183" w:lineRule="exact"/>
        <w:rPr>
          <w:rFonts w:ascii="Times New Roman" w:cs="Times New Roman" w:eastAsia="Times New Roman" w:hAnsi="Times New Roman"/>
          <w:sz w:val="18"/>
          <w:szCs w:val="18"/>
          <w:color w:val="auto"/>
        </w:rPr>
      </w:pPr>
    </w:p>
    <w:p>
      <w:pPr>
        <w:jc w:val="both"/>
        <w:ind w:left="-656" w:firstLine="980"/>
        <w:spacing w:after="0" w:line="256" w:lineRule="auto"/>
        <w:tabs>
          <w:tab w:leader="none" w:pos="59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Company’s Officers’ Certificate. </w:t>
      </w:r>
      <w:r>
        <w:rPr>
          <w:rFonts w:ascii="Times New Roman" w:cs="Times New Roman" w:eastAsia="Times New Roman" w:hAnsi="Times New Roman"/>
          <w:sz w:val="18"/>
          <w:szCs w:val="18"/>
          <w:color w:val="auto"/>
        </w:rPr>
        <w:t>The Representatives shall have received on and as of the Closing Date a certificate, which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on behalf of the Company and not the signatories in their individual capacity, of the chief financial officer or chief accounting officer of the Company and one additional senior executive officer of the Company who is reasonably satisfactory to the Representatives (i) confirming that such officers have carefully reviewed the Registration Statement, the Pricing Disclosure Package and the Prospectus, (ii) confirming that, to the knowledge of such officers, the representations and warranties of the Company in this Agreement are true and correct and that the Company has complied with all agreements and satisfied all conditions on its part to be performed or satisfied hereunder at or prior to the Closing Date and (iii) with respect to the Company and its Subsidiaries, to the effect set forth in paragraph (c) above.</w:t>
      </w:r>
    </w:p>
    <w:p>
      <w:pPr>
        <w:spacing w:after="0" w:line="184" w:lineRule="exact"/>
        <w:rPr>
          <w:rFonts w:ascii="Times New Roman" w:cs="Times New Roman" w:eastAsia="Times New Roman" w:hAnsi="Times New Roman"/>
          <w:sz w:val="18"/>
          <w:szCs w:val="18"/>
          <w:color w:val="auto"/>
        </w:rPr>
      </w:pPr>
    </w:p>
    <w:p>
      <w:pPr>
        <w:ind w:left="564" w:hanging="240"/>
        <w:spacing w:after="0"/>
        <w:tabs>
          <w:tab w:leader="none" w:pos="5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3" w:lineRule="exact"/>
        <w:rPr>
          <w:rFonts w:ascii="Times New Roman" w:cs="Times New Roman" w:eastAsia="Times New Roman" w:hAnsi="Times New Roman"/>
          <w:sz w:val="18"/>
          <w:szCs w:val="18"/>
          <w:color w:val="auto"/>
        </w:rPr>
      </w:pPr>
    </w:p>
    <w:p>
      <w:pPr>
        <w:jc w:val="both"/>
        <w:ind w:left="-656" w:firstLine="980"/>
        <w:spacing w:after="0" w:line="257" w:lineRule="auto"/>
        <w:tabs>
          <w:tab w:leader="none" w:pos="5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On the date of this Agreement and on the Closing Date, as applicable, Ernst &amp; Young LLP shall have furnished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included or incorporated by reference in the Registration Statement, the Pricing Disclosure Package and the Prospectus; provided, that the letter delivered on the Closing Date, shall use a “cut-off” date no more than three business days prior to the Closing Date.</w:t>
      </w:r>
    </w:p>
    <w:p>
      <w:pPr>
        <w:spacing w:after="0" w:line="182" w:lineRule="exact"/>
        <w:rPr>
          <w:rFonts w:ascii="Times New Roman" w:cs="Times New Roman" w:eastAsia="Times New Roman" w:hAnsi="Times New Roman"/>
          <w:sz w:val="18"/>
          <w:szCs w:val="18"/>
          <w:color w:val="auto"/>
        </w:rPr>
      </w:pPr>
    </w:p>
    <w:p>
      <w:pPr>
        <w:jc w:val="both"/>
        <w:ind w:left="-656" w:firstLine="980"/>
        <w:spacing w:after="0" w:line="267" w:lineRule="auto"/>
        <w:tabs>
          <w:tab w:leader="none" w:pos="61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Company. </w:t>
      </w:r>
      <w:r>
        <w:rPr>
          <w:rFonts w:ascii="Times New Roman" w:cs="Times New Roman" w:eastAsia="Times New Roman" w:hAnsi="Times New Roman"/>
          <w:sz w:val="18"/>
          <w:szCs w:val="18"/>
          <w:color w:val="auto"/>
        </w:rPr>
        <w:t>Dechert LLP, counsel for the Company, shall have furnished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at the request of the Company, their written opinions and 10b-5 letter, dated the Closing Date, and addressed to the Underwriters, in form and substance reasonably satisfactory to the Representatives.</w:t>
      </w:r>
    </w:p>
    <w:p>
      <w:pPr>
        <w:spacing w:after="0" w:line="173" w:lineRule="exact"/>
        <w:rPr>
          <w:rFonts w:ascii="Times New Roman" w:cs="Times New Roman" w:eastAsia="Times New Roman" w:hAnsi="Times New Roman"/>
          <w:sz w:val="18"/>
          <w:szCs w:val="18"/>
          <w:color w:val="auto"/>
        </w:rPr>
      </w:pPr>
    </w:p>
    <w:p>
      <w:pPr>
        <w:jc w:val="both"/>
        <w:ind w:left="-656" w:firstLine="980"/>
        <w:spacing w:after="0" w:line="267" w:lineRule="auto"/>
        <w:tabs>
          <w:tab w:leader="none" w:pos="57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Underwriters. </w:t>
      </w:r>
      <w:r>
        <w:rPr>
          <w:rFonts w:ascii="Times New Roman" w:cs="Times New Roman" w:eastAsia="Times New Roman" w:hAnsi="Times New Roman"/>
          <w:sz w:val="18"/>
          <w:szCs w:val="18"/>
          <w:color w:val="auto"/>
        </w:rPr>
        <w:t>Ropes &amp; Gray LLP, counsel for the Underwriters, shall have furnished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Representatives, their written opinions and 10b-5 letter, dated the Closing Date, and addressed to the Underwriters, in form and substance reasonably satisfactory to the Representatives.</w:t>
      </w:r>
    </w:p>
    <w:p>
      <w:pPr>
        <w:spacing w:after="0" w:line="173" w:lineRule="exact"/>
        <w:rPr>
          <w:rFonts w:ascii="Times New Roman" w:cs="Times New Roman" w:eastAsia="Times New Roman" w:hAnsi="Times New Roman"/>
          <w:sz w:val="18"/>
          <w:szCs w:val="18"/>
          <w:color w:val="auto"/>
        </w:rPr>
      </w:pPr>
    </w:p>
    <w:p>
      <w:pPr>
        <w:jc w:val="both"/>
        <w:ind w:left="-656" w:firstLine="980"/>
        <w:spacing w:after="0" w:line="261" w:lineRule="auto"/>
        <w:tabs>
          <w:tab w:leader="none" w:pos="54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Issuance. </w:t>
      </w:r>
      <w:r>
        <w:rPr>
          <w:rFonts w:ascii="Times New Roman" w:cs="Times New Roman" w:eastAsia="Times New Roman" w:hAnsi="Times New Roman"/>
          <w:sz w:val="18"/>
          <w:szCs w:val="18"/>
          <w:color w:val="auto"/>
        </w:rPr>
        <w:t>No action shall have been taken and no statute, rule, regulation, or order shall have been enacted,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or issued by any federal, state, or foreign governmental or regulatory authority that would, as of the Closing Date, prevent the issuance and sale of the Securities; and no injunction or order of any federal, state, or foreign court shall have been issued that would, as of the Closing Date, prevent the issuance and sale of the Securities.</w:t>
      </w:r>
    </w:p>
    <w:p>
      <w:pPr>
        <w:spacing w:after="0" w:line="179" w:lineRule="exact"/>
        <w:rPr>
          <w:rFonts w:ascii="Times New Roman" w:cs="Times New Roman" w:eastAsia="Times New Roman" w:hAnsi="Times New Roman"/>
          <w:sz w:val="18"/>
          <w:szCs w:val="18"/>
          <w:color w:val="auto"/>
        </w:rPr>
      </w:pPr>
    </w:p>
    <w:p>
      <w:pPr>
        <w:jc w:val="both"/>
        <w:ind w:left="-656" w:firstLine="980"/>
        <w:spacing w:after="0" w:line="261" w:lineRule="auto"/>
        <w:tabs>
          <w:tab w:leader="none" w:pos="55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 Standing</w:t>
      </w:r>
      <w:r>
        <w:rPr>
          <w:rFonts w:ascii="Times New Roman" w:cs="Times New Roman" w:eastAsia="Times New Roman" w:hAnsi="Times New Roman"/>
          <w:sz w:val="18"/>
          <w:szCs w:val="18"/>
          <w:color w:val="auto"/>
        </w:rPr>
        <w:t>. The Representatives shall have received on and as of the Closing Date reasonably satisfactory evidence of the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of the Company and its Subsidiaries in their respective jurisdictions of organization and their good standing as foreign entities in such other jurisdictions as the Representatives may reasonably request, in each case in writing or any standard form of telecommunication from the appropriate governmental authorities of such jurisdictions.</w:t>
      </w:r>
    </w:p>
    <w:p>
      <w:pPr>
        <w:spacing w:after="0" w:line="179" w:lineRule="exact"/>
        <w:rPr>
          <w:rFonts w:ascii="Times New Roman" w:cs="Times New Roman" w:eastAsia="Times New Roman" w:hAnsi="Times New Roman"/>
          <w:sz w:val="18"/>
          <w:szCs w:val="18"/>
          <w:color w:val="auto"/>
        </w:rPr>
      </w:pPr>
    </w:p>
    <w:p>
      <w:pPr>
        <w:ind w:left="-656" w:firstLine="656"/>
        <w:spacing w:after="0" w:line="284" w:lineRule="auto"/>
        <w:tabs>
          <w:tab w:leader="none" w:pos="24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Eighth Supplemental Indenture and Securities</w:t>
      </w:r>
      <w:r>
        <w:rPr>
          <w:rFonts w:ascii="Times New Roman" w:cs="Times New Roman" w:eastAsia="Times New Roman" w:hAnsi="Times New Roman"/>
          <w:sz w:val="18"/>
          <w:szCs w:val="18"/>
          <w:color w:val="auto"/>
        </w:rPr>
        <w:t>. On or prior to the Closing Date, the Company and the Trustee shall have executed and delivered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Eighth Supplemental Indenture and the Securities.</w:t>
      </w:r>
    </w:p>
    <w:p>
      <w:pPr>
        <w:spacing w:after="0" w:line="158"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2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Downgrade</w:t>
      </w:r>
      <w:r>
        <w:rPr>
          <w:rFonts w:ascii="Times New Roman" w:cs="Times New Roman" w:eastAsia="Times New Roman" w:hAnsi="Times New Roman"/>
          <w:sz w:val="18"/>
          <w:szCs w:val="18"/>
          <w:color w:val="auto"/>
        </w:rPr>
        <w:t>. Subsequent to the earlier of (A) the Applicable Time and (B) the execution and delivery of this Agreement, if there are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or preferred stock of, or guaranteed, by, the Company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421005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21" w:name="page22"/>
    <w:bookmarkEnd w:id="21"/>
    <w:p>
      <w:pPr>
        <w:ind w:firstLine="980"/>
        <w:spacing w:after="0" w:line="284" w:lineRule="auto"/>
        <w:tabs>
          <w:tab w:leader="none" w:pos="127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prior to the Closing Date, the Company shall have furnished to the Representatives such further certificates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documents as the Representatives may reasonably request.</w:t>
      </w:r>
    </w:p>
    <w:p>
      <w:pPr>
        <w:spacing w:after="0" w:line="160"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62" w:lineRule="exact"/>
        <w:rPr>
          <w:sz w:val="20"/>
          <w:szCs w:val="20"/>
          <w:color w:val="auto"/>
        </w:rPr>
      </w:pPr>
    </w:p>
    <w:p>
      <w:pPr>
        <w:ind w:left="1140" w:hanging="17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980"/>
        <w:spacing w:after="0" w:line="253" w:lineRule="auto"/>
        <w:tabs>
          <w:tab w:leader="none" w:pos="121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Underwriters. </w:t>
      </w:r>
      <w:r>
        <w:rPr>
          <w:rFonts w:ascii="Times New Roman" w:cs="Times New Roman" w:eastAsia="Times New Roman" w:hAnsi="Times New Roman"/>
          <w:sz w:val="18"/>
          <w:szCs w:val="18"/>
          <w:color w:val="auto"/>
        </w:rPr>
        <w:t>The Company agrees to indemnify and hold harmless each Underwriter, its affiliates, directors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any road show as defined in Rule 433(h) under the Securities Act (a “road show”),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subsection (b) below.</w:t>
      </w:r>
    </w:p>
    <w:p>
      <w:pPr>
        <w:spacing w:after="0" w:line="185" w:lineRule="exact"/>
        <w:rPr>
          <w:rFonts w:ascii="Times New Roman" w:cs="Times New Roman" w:eastAsia="Times New Roman" w:hAnsi="Times New Roman"/>
          <w:sz w:val="18"/>
          <w:szCs w:val="18"/>
          <w:color w:val="auto"/>
        </w:rPr>
      </w:pPr>
    </w:p>
    <w:p>
      <w:pPr>
        <w:jc w:val="both"/>
        <w:ind w:firstLine="980"/>
        <w:spacing w:after="0" w:line="253" w:lineRule="auto"/>
        <w:tabs>
          <w:tab w:leader="none" w:pos="12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Company. </w:t>
      </w:r>
      <w:r>
        <w:rPr>
          <w:rFonts w:ascii="Times New Roman" w:cs="Times New Roman" w:eastAsia="Times New Roman" w:hAnsi="Times New Roman"/>
          <w:sz w:val="18"/>
          <w:szCs w:val="18"/>
          <w:color w:val="auto"/>
        </w:rPr>
        <w:t>Each Underwriter agrees, severally and not jointly, to indemnify and hold harmless the Company,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Issuer Free Writing Prospectus,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marketing names of the Underwriters set forth on such cover page, and under the caption “Underwriting,” the legal names of the Underwriters, the concession amount appearing in the fifth paragraph and the information regarding stabilizing transactions contained in the eleventh and twelfth paragraphs.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 w:name="page23"/>
    <w:bookmarkEnd w:id="22"/>
    <w:p>
      <w:pPr>
        <w:jc w:val="both"/>
        <w:ind w:left="-980" w:firstLine="980"/>
        <w:spacing w:after="0" w:line="251" w:lineRule="auto"/>
        <w:tabs>
          <w:tab w:leader="none" w:pos="2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200" w:lineRule="exact"/>
        <w:rPr>
          <w:rFonts w:ascii="Times New Roman" w:cs="Times New Roman" w:eastAsia="Times New Roman" w:hAnsi="Times New Roman"/>
          <w:sz w:val="18"/>
          <w:szCs w:val="18"/>
          <w:color w:val="auto"/>
        </w:rPr>
      </w:pPr>
    </w:p>
    <w:p>
      <w:pPr>
        <w:jc w:val="both"/>
        <w:ind w:left="-980" w:firstLine="980"/>
        <w:spacing w:after="0" w:line="252" w:lineRule="auto"/>
        <w:tabs>
          <w:tab w:leader="none" w:pos="24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paragraphs (a) and (b) above is unavailable to an Indemnified Person or insufficient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Investment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428625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2" w:right="339" w:bottom="1440" w:gutter="0" w:footer="0" w:header="0"/>
        </w:sectPr>
      </w:pPr>
    </w:p>
    <w:bookmarkStart w:id="23" w:name="page24"/>
    <w:bookmarkEnd w:id="23"/>
    <w:p>
      <w:pPr>
        <w:jc w:val="both"/>
        <w:ind w:left="-656" w:firstLine="980"/>
        <w:spacing w:after="0" w:line="253" w:lineRule="auto"/>
        <w:tabs>
          <w:tab w:leader="none" w:pos="58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Liability. </w:t>
      </w:r>
      <w:r>
        <w:rPr>
          <w:rFonts w:ascii="Times New Roman" w:cs="Times New Roman" w:eastAsia="Times New Roman" w:hAnsi="Times New Roman"/>
          <w:sz w:val="18"/>
          <w:szCs w:val="18"/>
          <w:color w:val="auto"/>
        </w:rPr>
        <w:t>The Company and the Underwriters agree that it would not be just and equitable if contribution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paragraph (d) above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of this Section 8 are several in proportion to their respective purchase obligations hereunder and not joint.</w:t>
      </w:r>
    </w:p>
    <w:p>
      <w:pPr>
        <w:spacing w:after="0" w:line="191" w:lineRule="exact"/>
        <w:rPr>
          <w:rFonts w:ascii="Times New Roman" w:cs="Times New Roman" w:eastAsia="Times New Roman" w:hAnsi="Times New Roman"/>
          <w:sz w:val="18"/>
          <w:szCs w:val="18"/>
          <w:color w:val="auto"/>
        </w:rPr>
      </w:pPr>
    </w:p>
    <w:p>
      <w:pPr>
        <w:ind w:left="-656" w:firstLine="980"/>
        <w:spacing w:after="0" w:line="284" w:lineRule="auto"/>
        <w:tabs>
          <w:tab w:leader="none" w:pos="54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8 paragraphs (a) through (e) are not exclusive and shall not limit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or remedies which may otherwise be available to any Indemnified Person at law or in equity.</w:t>
      </w:r>
    </w:p>
    <w:p>
      <w:pPr>
        <w:spacing w:after="0" w:line="160"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5"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2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Representatives, by notice to the Company, if after the execution and delivery of this Agreement and prior to the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Closing Date on the terms and in the manner contemplated by this Agreement, the Pricing Disclosure Package and the Prospectus.</w:t>
      </w:r>
    </w:p>
    <w:p>
      <w:pPr>
        <w:spacing w:after="0" w:line="19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Underwriter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firstLine="980"/>
        <w:spacing w:after="0" w:line="253" w:lineRule="auto"/>
        <w:tabs>
          <w:tab w:leader="none" w:pos="5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any Underwriter defaults on its obligation to purchase the Securities that it has agreed to purchase hereunder on such date, the non-defaulting Underwriters may in their discretion arrange for the purchase of such Securities by other persons satisfactory to the Company on the terms contained in this Agreement. If, within 24 hours after any such default by any Underwriter, the non-defaulting Underwriters do not arrange for the purchase of such Securities, then the Company shall be entitled to a further period of 24 hours within which to procure other persons reasonably satisfactory to the non-defaulting Underwriters to purchase such Securities on such terms. If other persons become obligated or agree to purchase the Securities of a defaulting Underwriter, either the non-defaulting Underwriters or the Company may postpone the Closing Date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11, purchases Securities that a defaulting Underwriter agreed but failed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424815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24" w:name="page25"/>
    <w:bookmarkEnd w:id="24"/>
    <w:p>
      <w:pPr>
        <w:jc w:val="both"/>
        <w:ind w:left="-8" w:firstLine="980"/>
        <w:spacing w:after="0" w:line="256" w:lineRule="auto"/>
        <w:tabs>
          <w:tab w:leader="none" w:pos="1242"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does not exceed one-eleventh of the aggregate principal amount of Securities to be purchased on such date, then the Company shall have the right to require each non-defaulting Underwriter to purchase the principal amount of Securities that such Underwriter agreed to purchase hereunder on such date plus such Underwriter’s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(based on the principal amount of Securities that such Underwriter agreed to purchase on such date) of the Securities of such defaulting Underwriter or Underwriters for which such arrangements have not been made.</w:t>
      </w:r>
    </w:p>
    <w:p>
      <w:pPr>
        <w:spacing w:after="0" w:line="187" w:lineRule="exact"/>
        <w:rPr>
          <w:rFonts w:ascii="Times New Roman" w:cs="Times New Roman" w:eastAsia="Times New Roman" w:hAnsi="Times New Roman"/>
          <w:sz w:val="18"/>
          <w:szCs w:val="18"/>
          <w:color w:val="auto"/>
        </w:rPr>
      </w:pPr>
    </w:p>
    <w:p>
      <w:pPr>
        <w:jc w:val="both"/>
        <w:ind w:left="-8" w:firstLine="980"/>
        <w:spacing w:after="0" w:line="255" w:lineRule="auto"/>
        <w:tabs>
          <w:tab w:leader="none" w:pos="1232"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exceeds one-eleventh of the aggregate principal amount of Securities to be purchased on such date, or if the Company shall not exercise the right described in paragraph (b) above, then this Agreement shall terminate without liability on the part of the non- defaulting Underwriters.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w:t>
      </w:r>
    </w:p>
    <w:p>
      <w:pPr>
        <w:spacing w:after="0" w:line="188" w:lineRule="exact"/>
        <w:rPr>
          <w:rFonts w:ascii="Times New Roman" w:cs="Times New Roman" w:eastAsia="Times New Roman" w:hAnsi="Times New Roman"/>
          <w:sz w:val="18"/>
          <w:szCs w:val="18"/>
          <w:color w:val="auto"/>
        </w:rPr>
      </w:pPr>
    </w:p>
    <w:p>
      <w:pPr>
        <w:ind w:left="-8" w:right="20" w:firstLine="980"/>
        <w:spacing w:after="0" w:line="282" w:lineRule="auto"/>
        <w:tabs>
          <w:tab w:leader="none" w:pos="1251"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or any non-defaulting Underwriter for damages caused by its default.</w:t>
      </w:r>
    </w:p>
    <w:p>
      <w:pPr>
        <w:spacing w:after="0" w:line="159"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227" w:lineRule="exact"/>
        <w:rPr>
          <w:rFonts w:ascii="Times New Roman" w:cs="Times New Roman" w:eastAsia="Times New Roman" w:hAnsi="Times New Roman"/>
          <w:sz w:val="18"/>
          <w:szCs w:val="18"/>
          <w:color w:val="auto"/>
        </w:rPr>
      </w:pPr>
    </w:p>
    <w:p>
      <w:pPr>
        <w:jc w:val="both"/>
        <w:ind w:left="-8" w:firstLine="980"/>
        <w:spacing w:after="0" w:line="257" w:lineRule="auto"/>
        <w:tabs>
          <w:tab w:leader="none" w:pos="1211"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stamp, issuance, transfer or other similar taxes payable in that connection;</w:t>
      </w:r>
    </w:p>
    <w:p>
      <w:pPr>
        <w:spacing w:after="0" w:line="1"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6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incident to the preparation, printing and filing under the Securities Act of the Registration Statement, the Preliminary Prospectus, any Pricing Disclosure Package and the Prospectus (including all exhibits, amendments and supplements thereto) and the distribution thereof; (iii) the fees and expenses of the Company’s counsel and independent accountants; (iv) the reasonable and documented fees and expenses incurred in connection with the registration or qualification of the Securities under the state or foreign securities or blue sky laws of such jurisdictions as the Representatives may designate with the prior approval of the Company (such approval not to be unreasonably withheld, conditioned or delayed) (including the related reasonable and documented fees and expenses of counsel for the Underwriters); (v) all filing fees and the reasonable fees and expenses incurred in connection with any filing with, and clearance of the offering by, FINRA (such fees and expenses pursuant to this clause (v) and clause (iv), in the aggregate, shall not exceed $10,000); (vi) all expenses incurred by the Company in connection with any “road show” presentation to potential investors; and (vii) the fees and expenses of the Trustee with respect to the Securities. It is, however, understood that except as provided in this Section 12 or in Section 8 of this Agreement, the Underwriters shall pay all of their own costs and expenses, including, without limitation, the fees and disbursements of their counsel, any advertising expenses connected with any offers they make and all travel, lodging and other expenses of the Underwriters incurred by them in connection with any road show.</w:t>
      </w:r>
    </w:p>
    <w:p>
      <w:pPr>
        <w:spacing w:after="0" w:line="192" w:lineRule="exact"/>
        <w:rPr>
          <w:rFonts w:ascii="Times New Roman" w:cs="Times New Roman" w:eastAsia="Times New Roman" w:hAnsi="Times New Roman"/>
          <w:sz w:val="18"/>
          <w:szCs w:val="18"/>
          <w:color w:val="auto"/>
        </w:rPr>
      </w:pPr>
    </w:p>
    <w:p>
      <w:pPr>
        <w:jc w:val="both"/>
        <w:ind w:left="-8" w:firstLine="980"/>
        <w:spacing w:after="0" w:line="257" w:lineRule="auto"/>
        <w:tabs>
          <w:tab w:leader="none" w:pos="1234"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terminated pursuant to Section 10 (other than as a result of a termination pursuant to clauses (i), (iii) or (iv) of Section 10), (ii) the Company for any reason fails to tender the Securities for delivery to the Underwriters (other than as a result of a termination pursuant to Section 11 or clauses (i), (iii) or (iv) of Section 10 or the default by one or more of the Underwriters in its or their respective obligations hereunder) or</w:t>
      </w:r>
    </w:p>
    <w:p>
      <w:pPr>
        <w:spacing w:after="0" w:line="1" w:lineRule="exact"/>
        <w:rPr>
          <w:rFonts w:ascii="Times New Roman" w:cs="Times New Roman" w:eastAsia="Times New Roman" w:hAnsi="Times New Roman"/>
          <w:sz w:val="18"/>
          <w:szCs w:val="18"/>
          <w:color w:val="auto"/>
        </w:rPr>
      </w:pPr>
    </w:p>
    <w:p>
      <w:pPr>
        <w:jc w:val="both"/>
        <w:ind w:left="-8" w:firstLine="8"/>
        <w:spacing w:after="0" w:line="255" w:lineRule="auto"/>
        <w:tabs>
          <w:tab w:leader="none" w:pos="31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decline to purchase the Securities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185"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92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5" w:name="page26"/>
    <w:bookmarkEnd w:id="25"/>
    <w:p>
      <w:pPr>
        <w:jc w:val="both"/>
        <w:ind w:firstLine="656"/>
        <w:spacing w:after="0" w:line="261" w:lineRule="auto"/>
        <w:tabs>
          <w:tab w:leader="none" w:pos="9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and (b) the term “business day” means any day other than a day on which banks are permitted or required to be closed in New York City.</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80"/>
        <w:spacing w:after="0" w:line="261" w:lineRule="auto"/>
        <w:tabs>
          <w:tab w:leader="none" w:pos="122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jc w:val="both"/>
        <w:ind w:firstLine="980"/>
        <w:spacing w:after="0" w:line="261" w:lineRule="auto"/>
        <w:tabs>
          <w:tab w:leader="none" w:pos="123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jc w:val="both"/>
        <w:ind w:firstLine="980"/>
        <w:spacing w:after="0" w:line="255" w:lineRule="auto"/>
        <w:tabs>
          <w:tab w:leader="none" w:pos="123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16,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of 1950, as amended, and the regulations promulgated thereunder and (ii) Title II of the Dodd-Frank Wall Street Reform and Consumer Protection Act of 2010, as amended, and the regulations promulgated thereunder.</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980"/>
        <w:spacing w:after="0" w:line="258" w:lineRule="auto"/>
        <w:tabs>
          <w:tab w:leader="none" w:pos="123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transmitted and confirmed by any standard form of telecommunication. Notices to the Underwriters shall be given to the Representatives c/o Keefe, Bruyette &amp; Woods, Inc., 787 7th Avenue, 4th Floor, New York, New York 10019, Attention: General Counsel; and MUFG Securities Americas Inc., 1221</w:t>
      </w:r>
    </w:p>
    <w:p>
      <w:pPr>
        <w:spacing w:after="0" w:line="186" w:lineRule="auto"/>
        <w:rPr>
          <w:sz w:val="20"/>
          <w:szCs w:val="20"/>
          <w:color w:val="auto"/>
        </w:rPr>
      </w:pPr>
      <w:r>
        <w:rPr>
          <w:rFonts w:ascii="Times New Roman" w:cs="Times New Roman" w:eastAsia="Times New Roman" w:hAnsi="Times New Roman"/>
          <w:sz w:val="18"/>
          <w:szCs w:val="18"/>
          <w:color w:val="auto"/>
        </w:rPr>
        <w:t>Avenue of the Americas,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10020, Attention: Capital Markets Group (facsimile: (646 434-3455)), with a copy to Ropes &amp; Gray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LLP, 1211 Avenue of the Americas, New York, NY 10036, Attn: Paul D. Tropp. Notices to the Company shall be given to it at Trinity Capital Inc., 1 N. 1st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Suite 302, Phoenix, Arizona 85004, Attention: Kyle Brown, with a copy to Dechert LLP, 1900 K Street, N.W., Washington, DC 20006, Attn: Darius</w:t>
      </w:r>
    </w:p>
    <w:p>
      <w:pPr>
        <w:spacing w:after="0" w:line="9" w:lineRule="exact"/>
        <w:rPr>
          <w:sz w:val="20"/>
          <w:szCs w:val="20"/>
          <w:color w:val="auto"/>
        </w:rPr>
      </w:pPr>
    </w:p>
    <w:p>
      <w:pPr>
        <w:ind w:left="160" w:hanging="152"/>
        <w:spacing w:after="0"/>
        <w:tabs>
          <w:tab w:leader="none" w:pos="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Ravangard.</w:t>
      </w:r>
    </w:p>
    <w:p>
      <w:pPr>
        <w:spacing w:after="0" w:line="204" w:lineRule="exact"/>
        <w:rPr>
          <w:rFonts w:ascii="Times New Roman" w:cs="Times New Roman" w:eastAsia="Times New Roman" w:hAnsi="Times New Roman"/>
          <w:sz w:val="18"/>
          <w:szCs w:val="18"/>
          <w:color w:val="auto"/>
        </w:rPr>
      </w:pPr>
    </w:p>
    <w:p>
      <w:pPr>
        <w:jc w:val="both"/>
        <w:ind w:firstLine="980"/>
        <w:spacing w:after="0" w:line="267" w:lineRule="auto"/>
        <w:tabs>
          <w:tab w:leader="none" w:pos="122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In accordance with the requirements of the USA Patriot Act, the Underwriters are required to obtain, verify and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that identifies their clients, which may include the name and address of their clients, as well as other information that will allow the underwriters to properly identify their clients.</w:t>
      </w:r>
    </w:p>
    <w:p>
      <w:pPr>
        <w:spacing w:after="0" w:line="173" w:lineRule="exact"/>
        <w:rPr>
          <w:rFonts w:ascii="Times New Roman" w:cs="Times New Roman" w:eastAsia="Times New Roman" w:hAnsi="Times New Roman"/>
          <w:sz w:val="18"/>
          <w:szCs w:val="18"/>
          <w:color w:val="auto"/>
        </w:rPr>
      </w:pPr>
    </w:p>
    <w:p>
      <w:pPr>
        <w:ind w:firstLine="980"/>
        <w:spacing w:after="0" w:line="284" w:lineRule="auto"/>
        <w:tabs>
          <w:tab w:leader="none" w:pos="121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 applicable to agreements made and to be performed in such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980"/>
        <w:spacing w:after="0" w:line="261" w:lineRule="auto"/>
        <w:tabs>
          <w:tab w:leader="none" w:pos="12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counterparts, each of which shall be an original and all of which together shall constitute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and the same instrument. Counterparts may be delivered via facsimile, electronic mail (including any electronic signature covered by the U.S. federal ESIGN Act of 2000, Uniform Electronic Transactions Act, the Electronic Signatures and Records Act or other applicable law, e.g., docusign.com) or other transmission method and any counterpart so delivered shall be deemed to have been duly and validly delivered and be valid and effective for all purposes.</w:t>
      </w:r>
    </w:p>
    <w:p>
      <w:pPr>
        <w:spacing w:after="0" w:line="179" w:lineRule="exact"/>
        <w:rPr>
          <w:rFonts w:ascii="Times New Roman" w:cs="Times New Roman" w:eastAsia="Times New Roman" w:hAnsi="Times New Roman"/>
          <w:sz w:val="18"/>
          <w:szCs w:val="18"/>
          <w:color w:val="auto"/>
        </w:rPr>
      </w:pPr>
    </w:p>
    <w:p>
      <w:pPr>
        <w:ind w:firstLine="980"/>
        <w:spacing w:after="0" w:line="284" w:lineRule="auto"/>
        <w:tabs>
          <w:tab w:leader="none" w:pos="123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158" w:lineRule="exact"/>
        <w:rPr>
          <w:rFonts w:ascii="Times New Roman" w:cs="Times New Roman" w:eastAsia="Times New Roman" w:hAnsi="Times New Roman"/>
          <w:sz w:val="18"/>
          <w:szCs w:val="18"/>
          <w:color w:val="auto"/>
        </w:rPr>
      </w:pPr>
    </w:p>
    <w:p>
      <w:pPr>
        <w:ind w:right="20" w:firstLine="980"/>
        <w:spacing w:after="0" w:line="284" w:lineRule="auto"/>
        <w:tabs>
          <w:tab w:leader="none" w:pos="119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interpretation of, this Agreement.</w:t>
      </w:r>
    </w:p>
    <w:p>
      <w:pPr>
        <w:spacing w:after="0" w:line="158" w:lineRule="exact"/>
        <w:rPr>
          <w:rFonts w:ascii="Times New Roman" w:cs="Times New Roman" w:eastAsia="Times New Roman" w:hAnsi="Times New Roman"/>
          <w:sz w:val="18"/>
          <w:szCs w:val="18"/>
          <w:color w:val="auto"/>
        </w:rPr>
      </w:pPr>
    </w:p>
    <w:p>
      <w:pPr>
        <w:jc w:val="both"/>
        <w:ind w:firstLine="980"/>
        <w:spacing w:after="0" w:line="267" w:lineRule="auto"/>
        <w:tabs>
          <w:tab w:leader="none" w:pos="12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Authority of the Representatives</w:t>
      </w:r>
      <w:r>
        <w:rPr>
          <w:rFonts w:ascii="Times New Roman" w:cs="Times New Roman" w:eastAsia="Times New Roman" w:hAnsi="Times New Roman"/>
          <w:sz w:val="18"/>
          <w:szCs w:val="18"/>
          <w:color w:val="auto"/>
        </w:rPr>
        <w:t>. The Representatives are duly authorized to act hereunder on behalf of the other Underwriters. Any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Underwriters hereunder may be taken by the Representatives on behalf of the Underwriters, and any such action taken by the Representatives shall be binding on all the Underwriters.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foregoing is in accordance with your understanding, please indicate your acceptance of this Agreement by signing in the space provided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 w:name="page28"/>
    <w:bookmarkEnd w:id="27"/>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TRINITY CAPITAL INC.</w:t>
      </w:r>
    </w:p>
    <w:p>
      <w:pPr>
        <w:spacing w:after="0" w:line="225"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Kyle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Kyle Brown</w:t>
      </w:r>
    </w:p>
    <w:p>
      <w:pPr>
        <w:spacing w:after="0" w:line="23"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and Chief Investment Officer</w:t>
      </w:r>
    </w:p>
    <w:p>
      <w:pPr>
        <w:spacing w:after="0" w:line="20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Underwriting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120"/>
          </w:cols>
          <w:pgMar w:left="1440" w:top="904" w:right="1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Acting on behalf of themselves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 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Al Laufenberg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Al Laufenberg</w:t>
      </w:r>
    </w:p>
    <w:p>
      <w:pPr>
        <w:spacing w:after="0" w:line="23"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Richard Testa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Richard Testa</w:t>
      </w:r>
    </w:p>
    <w:p>
      <w:pPr>
        <w:spacing w:after="0" w:line="23"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5"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9" w:name="page30"/>
    <w:bookmarkEnd w:id="29"/>
    <w:p>
      <w:pPr>
        <w:ind w:left="10440"/>
        <w:spacing w:after="0"/>
        <w:rPr>
          <w:sz w:val="20"/>
          <w:szCs w:val="20"/>
          <w:color w:val="auto"/>
        </w:rPr>
      </w:pPr>
      <w:r>
        <w:rPr>
          <w:rFonts w:ascii="Times New Roman" w:cs="Times New Roman" w:eastAsia="Times New Roman" w:hAnsi="Times New Roman"/>
          <w:sz w:val="18"/>
          <w:szCs w:val="18"/>
          <w:color w:val="auto"/>
        </w:rPr>
        <w:t>Schedule 1</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Purchase Price for the Securities to be paid by the several Underwriters shall be 98.181% of the aggregate principal amount thereof, plus accrued interest, if any, from May 21,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Principal</w:t>
            </w:r>
          </w:p>
        </w:tc>
      </w:tr>
      <w:tr>
        <w:trPr>
          <w:trHeight w:val="216"/>
        </w:trPr>
        <w:tc>
          <w:tcPr>
            <w:tcW w:w="6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Amount of</w:t>
            </w:r>
          </w:p>
        </w:tc>
      </w:tr>
      <w:tr>
        <w:trPr>
          <w:trHeight w:val="216"/>
        </w:trPr>
        <w:tc>
          <w:tcPr>
            <w:tcW w:w="6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Securities to</w:t>
            </w: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Underwriter</w:t>
            </w:r>
          </w:p>
        </w:tc>
        <w:tc>
          <w:tcPr>
            <w:tcW w:w="35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be Purchased</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112,500,000</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112,500,000</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Hancock Whitney Investment Services, Inc.</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15,000,000</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RBC Capital Markets, LLC</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15,000,000</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Zions Direct, Inc.</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15,000,000</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Citizens JMP Securities, LLC</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7,500,000</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Ladenburg Thalmann &amp; Co. Inc.</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7,500,000</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Lucid Capital Markets, LLC</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7,500,000</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Oppenheimer &amp; Co. Inc.</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7,500,000</w:t>
            </w:r>
          </w:p>
        </w:tc>
      </w:tr>
      <w:tr>
        <w:trPr>
          <w:trHeight w:val="234"/>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300,000,000</w:t>
            </w:r>
          </w:p>
        </w:tc>
      </w:tr>
      <w:tr>
        <w:trPr>
          <w:trHeight w:val="691"/>
        </w:trPr>
        <w:tc>
          <w:tcPr>
            <w:tcW w:w="66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Schedule 2</w:t>
      </w:r>
    </w:p>
    <w:p>
      <w:pPr>
        <w:spacing w:after="0" w:line="225" w:lineRule="exact"/>
        <w:rPr>
          <w:sz w:val="20"/>
          <w:szCs w:val="20"/>
          <w:color w:val="auto"/>
        </w:rPr>
      </w:pPr>
    </w:p>
    <w:p>
      <w:pPr>
        <w:ind w:left="287" w:hanging="287"/>
        <w:spacing w:after="0" w:line="282" w:lineRule="auto"/>
        <w:tabs>
          <w:tab w:leader="none" w:pos="2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Term Sheet, dated May 19, 2026, containing the terms governing the Securities, substantially in the form of Annex A to this Agreement filed with the Commission on May 19, 2026 pursuant to Rule 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405765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7"/>
          </w:cols>
          <w:pgMar w:left="373" w:top="904"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color w:val="auto"/>
        </w:rPr>
        <w:t>Schedule 3</w:t>
      </w:r>
    </w:p>
    <w:p>
      <w:pPr>
        <w:spacing w:after="0" w:line="225" w:lineRule="exact"/>
        <w:rPr>
          <w:sz w:val="20"/>
          <w:szCs w:val="20"/>
          <w:color w:val="auto"/>
        </w:rPr>
      </w:pPr>
    </w:p>
    <w:p>
      <w:pPr>
        <w:jc w:val="center"/>
        <w:ind w:right="373"/>
        <w:spacing w:after="0"/>
        <w:rPr>
          <w:sz w:val="20"/>
          <w:szCs w:val="20"/>
          <w:color w:val="auto"/>
        </w:rPr>
      </w:pPr>
      <w:r>
        <w:rPr>
          <w:rFonts w:ascii="Times New Roman" w:cs="Times New Roman" w:eastAsia="Times New Roman" w:hAnsi="Times New Roman"/>
          <w:sz w:val="18"/>
          <w:szCs w:val="18"/>
          <w:color w:val="auto"/>
        </w:rPr>
        <w:t>Subsidiaries of the Company</w:t>
      </w:r>
    </w:p>
    <w:p>
      <w:pPr>
        <w:spacing w:after="0" w:line="27" w:lineRule="exact"/>
        <w:rPr>
          <w:sz w:val="20"/>
          <w:szCs w:val="20"/>
          <w:color w:val="auto"/>
        </w:rPr>
      </w:pPr>
    </w:p>
    <w:p>
      <w:pPr>
        <w:ind w:left="607" w:hanging="607"/>
        <w:spacing w:after="0"/>
        <w:tabs>
          <w:tab w:leader="none" w:pos="60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TRINCAP FUNDING, LLC</w:t>
      </w:r>
    </w:p>
    <w:p>
      <w:pPr>
        <w:spacing w:after="0" w:line="9" w:lineRule="exact"/>
        <w:rPr>
          <w:rFonts w:ascii="Times New Roman" w:cs="Times New Roman" w:eastAsia="Times New Roman" w:hAnsi="Times New Roman"/>
          <w:sz w:val="18"/>
          <w:szCs w:val="18"/>
          <w:color w:val="auto"/>
        </w:rPr>
      </w:pPr>
    </w:p>
    <w:p>
      <w:pPr>
        <w:ind w:left="607" w:hanging="607"/>
        <w:spacing w:after="0"/>
        <w:tabs>
          <w:tab w:leader="none" w:pos="60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TRINCAP TERM FUNDING,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451485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7"/>
          </w:cols>
          <w:pgMar w:left="713" w:top="904"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PRICING TERM SHEET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Trinity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$300,000,000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7.000% Notes due 2031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19, 2026</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sets forth the final terms of the 7.000% Notes due 2031 (the “Notes”) and should only be read together with the preliminary prospectus supplement of Trinity Capital Inc. (the “Issuer”) dated May 19, 2026, together with the accompanying prospectus dated August 11, 2025 (the “Preliminary Prospectus”), relating to the Notes,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76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Trinity Capital Inc.</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Issuer Ticker:</w:t>
            </w:r>
          </w:p>
        </w:tc>
        <w:tc>
          <w:tcPr>
            <w:tcW w:w="76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TRIN</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Security:</w:t>
            </w:r>
          </w:p>
        </w:tc>
        <w:tc>
          <w:tcPr>
            <w:tcW w:w="76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7.000% Notes due 2031</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Expected Ratings*:</w:t>
            </w:r>
          </w:p>
        </w:tc>
        <w:tc>
          <w:tcPr>
            <w:tcW w:w="76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Baa3 (Moody’s) / BBBL (Morningstar) / BBB (Egan-Jones)</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76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May 19, 2026</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76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May 21, 2026 (T+2)</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Aggregate Principal Amount Offered:</w:t>
            </w:r>
          </w:p>
        </w:tc>
        <w:tc>
          <w:tcPr>
            <w:tcW w:w="76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$300,000,000</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76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May 21, 2031, unless earlier repurchased or redeemed</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 (Issue Price):</w:t>
            </w:r>
          </w:p>
        </w:tc>
        <w:tc>
          <w:tcPr>
            <w:tcW w:w="76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99.181%</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Coupon (Interest Rate):</w:t>
            </w:r>
          </w:p>
        </w:tc>
        <w:tc>
          <w:tcPr>
            <w:tcW w:w="76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7.000%</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76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7.198%</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76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+ 287.5 basis points</w:t>
            </w:r>
          </w:p>
        </w:tc>
      </w:tr>
      <w:tr>
        <w:trPr>
          <w:trHeight w:val="41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76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3.875% due April 30, 2031</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and Yield:</w:t>
            </w:r>
          </w:p>
        </w:tc>
        <w:tc>
          <w:tcPr>
            <w:tcW w:w="76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98 - 100 ¾ / 4.323%</w:t>
            </w:r>
          </w:p>
        </w:tc>
      </w:tr>
      <w:tr>
        <w:trPr>
          <w:trHeight w:val="432"/>
        </w:trPr>
        <w:tc>
          <w:tcPr>
            <w:tcW w:w="3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Payment Dates:</w:t>
            </w:r>
          </w:p>
        </w:tc>
        <w:tc>
          <w:tcPr>
            <w:tcW w:w="76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November 21 and May 21, commencing November 21, 2026</w:t>
            </w:r>
          </w:p>
        </w:tc>
      </w:tr>
      <w:tr>
        <w:trPr>
          <w:trHeight w:val="682"/>
        </w:trPr>
        <w:tc>
          <w:tcPr>
            <w:tcW w:w="36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77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Prior to April 21, 2031 (the date falling one month prior to the maturity date of the Notes)</w:t>
            </w:r>
          </w:p>
        </w:tc>
      </w:tr>
      <w:tr>
        <w:trPr>
          <w:trHeight w:val="216"/>
        </w:trPr>
        <w:tc>
          <w:tcPr>
            <w:tcW w:w="3400" w:type="dxa"/>
            <w:vAlign w:val="bottom"/>
          </w:tcPr>
          <w:p>
            <w:pPr>
              <w:spacing w:after="0"/>
              <w:rPr>
                <w:sz w:val="18"/>
                <w:szCs w:val="18"/>
                <w:color w:val="auto"/>
              </w:rPr>
            </w:pPr>
          </w:p>
        </w:tc>
        <w:tc>
          <w:tcPr>
            <w:tcW w:w="77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(the “Par Call Date”), the Issuer may redeem some or all of the Notes at any time, or from</w:t>
            </w:r>
          </w:p>
        </w:tc>
      </w:tr>
      <w:tr>
        <w:trPr>
          <w:trHeight w:val="216"/>
        </w:trPr>
        <w:tc>
          <w:tcPr>
            <w:tcW w:w="3400" w:type="dxa"/>
            <w:vAlign w:val="bottom"/>
          </w:tcPr>
          <w:p>
            <w:pPr>
              <w:spacing w:after="0"/>
              <w:rPr>
                <w:sz w:val="18"/>
                <w:szCs w:val="18"/>
                <w:color w:val="auto"/>
              </w:rPr>
            </w:pPr>
          </w:p>
        </w:tc>
        <w:tc>
          <w:tcPr>
            <w:tcW w:w="77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time to time, at a redemption price equal to the greater of the following amounts, plus, in</w:t>
            </w:r>
          </w:p>
        </w:tc>
      </w:tr>
      <w:tr>
        <w:trPr>
          <w:trHeight w:val="234"/>
        </w:trPr>
        <w:tc>
          <w:tcPr>
            <w:tcW w:w="3400" w:type="dxa"/>
            <w:vAlign w:val="bottom"/>
          </w:tcPr>
          <w:p>
            <w:pPr>
              <w:spacing w:after="0"/>
              <w:rPr>
                <w:sz w:val="20"/>
                <w:szCs w:val="20"/>
                <w:color w:val="auto"/>
              </w:rPr>
            </w:pPr>
          </w:p>
        </w:tc>
        <w:tc>
          <w:tcPr>
            <w:tcW w:w="77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each case, accrued and unpaid interest thereon to the redemption date:</w:t>
            </w:r>
          </w:p>
        </w:tc>
      </w:tr>
      <w:tr>
        <w:trPr>
          <w:trHeight w:val="414"/>
        </w:trPr>
        <w:tc>
          <w:tcPr>
            <w:tcW w:w="3400" w:type="dxa"/>
            <w:vAlign w:val="bottom"/>
          </w:tcPr>
          <w:p>
            <w:pPr>
              <w:spacing w:after="0"/>
              <w:rPr>
                <w:sz w:val="24"/>
                <w:szCs w:val="24"/>
                <w:color w:val="auto"/>
              </w:rPr>
            </w:pPr>
          </w:p>
        </w:tc>
        <w:tc>
          <w:tcPr>
            <w:tcW w:w="14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 the sum of the present values of the remaining scheduled payments of principal</w:t>
            </w:r>
          </w:p>
        </w:tc>
      </w:tr>
      <w:tr>
        <w:trPr>
          <w:trHeight w:val="216"/>
        </w:trPr>
        <w:tc>
          <w:tcPr>
            <w:tcW w:w="3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and interest thereon, discounted to the redemption date (assuming the Notes matured</w:t>
            </w:r>
          </w:p>
        </w:tc>
      </w:tr>
      <w:tr>
        <w:trPr>
          <w:trHeight w:val="216"/>
        </w:trPr>
        <w:tc>
          <w:tcPr>
            <w:tcW w:w="3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on the Par Call Date) on a semi-annual basis (assuming a 360-day year consisting of</w:t>
            </w:r>
          </w:p>
        </w:tc>
      </w:tr>
      <w:tr>
        <w:trPr>
          <w:trHeight w:val="216"/>
        </w:trPr>
        <w:tc>
          <w:tcPr>
            <w:tcW w:w="3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twelve 30-day months) at the Treasury Rate plus 45 basis points less (b) interest</w:t>
            </w:r>
          </w:p>
        </w:tc>
      </w:tr>
      <w:tr>
        <w:trPr>
          <w:trHeight w:val="234"/>
        </w:trPr>
        <w:tc>
          <w:tcPr>
            <w:tcW w:w="3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to the date of redemption; and</w:t>
            </w:r>
          </w:p>
        </w:tc>
      </w:tr>
      <w:tr>
        <w:trPr>
          <w:trHeight w:val="432"/>
        </w:trPr>
        <w:tc>
          <w:tcPr>
            <w:tcW w:w="3400" w:type="dxa"/>
            <w:vAlign w:val="bottom"/>
          </w:tcPr>
          <w:p>
            <w:pPr>
              <w:spacing w:after="0"/>
              <w:rPr>
                <w:sz w:val="24"/>
                <w:szCs w:val="24"/>
                <w:color w:val="auto"/>
              </w:rPr>
            </w:pPr>
          </w:p>
        </w:tc>
        <w:tc>
          <w:tcPr>
            <w:tcW w:w="14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100% of the principal amount of the Notes to be redeemed;</w:t>
            </w:r>
          </w:p>
        </w:tc>
      </w:tr>
      <w:tr>
        <w:trPr>
          <w:trHeight w:val="414"/>
        </w:trPr>
        <w:tc>
          <w:tcPr>
            <w:tcW w:w="3400" w:type="dxa"/>
            <w:vAlign w:val="bottom"/>
          </w:tcPr>
          <w:p>
            <w:pPr>
              <w:spacing w:after="0"/>
              <w:rPr>
                <w:sz w:val="24"/>
                <w:szCs w:val="24"/>
                <w:color w:val="auto"/>
              </w:rPr>
            </w:pPr>
          </w:p>
        </w:tc>
        <w:tc>
          <w:tcPr>
            <w:tcW w:w="7780" w:type="dxa"/>
            <w:vAlign w:val="bottom"/>
            <w:gridSpan w:val="2"/>
          </w:tcPr>
          <w:p>
            <w:pPr>
              <w:ind w:left="1100"/>
              <w:spacing w:after="0"/>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if the Issuer redeems any Notes on or after the Par Call Date, the</w:t>
            </w:r>
          </w:p>
        </w:tc>
      </w:tr>
      <w:tr>
        <w:trPr>
          <w:trHeight w:val="216"/>
        </w:trPr>
        <w:tc>
          <w:tcPr>
            <w:tcW w:w="3400" w:type="dxa"/>
            <w:vAlign w:val="bottom"/>
          </w:tcPr>
          <w:p>
            <w:pPr>
              <w:spacing w:after="0"/>
              <w:rPr>
                <w:sz w:val="18"/>
                <w:szCs w:val="18"/>
                <w:color w:val="auto"/>
              </w:rPr>
            </w:pPr>
          </w:p>
        </w:tc>
        <w:tc>
          <w:tcPr>
            <w:tcW w:w="77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w w:val="99"/>
              </w:rPr>
              <w:t>redemption price for the Notes will be equal to 100% of the principal amount of the Notes to</w:t>
            </w:r>
          </w:p>
        </w:tc>
      </w:tr>
      <w:tr>
        <w:trPr>
          <w:trHeight w:val="216"/>
        </w:trPr>
        <w:tc>
          <w:tcPr>
            <w:tcW w:w="3400" w:type="dxa"/>
            <w:vAlign w:val="bottom"/>
          </w:tcPr>
          <w:p>
            <w:pPr>
              <w:spacing w:after="0"/>
              <w:rPr>
                <w:sz w:val="18"/>
                <w:szCs w:val="18"/>
                <w:color w:val="auto"/>
              </w:rPr>
            </w:pPr>
          </w:p>
        </w:tc>
        <w:tc>
          <w:tcPr>
            <w:tcW w:w="77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be redeemed, plus accrued and unpaid interest thereon to, but excluding, the date of</w:t>
            </w:r>
          </w:p>
        </w:tc>
      </w:tr>
      <w:tr>
        <w:trPr>
          <w:trHeight w:val="234"/>
        </w:trPr>
        <w:tc>
          <w:tcPr>
            <w:tcW w:w="3400" w:type="dxa"/>
            <w:vAlign w:val="bottom"/>
          </w:tcPr>
          <w:p>
            <w:pPr>
              <w:spacing w:after="0"/>
              <w:rPr>
                <w:sz w:val="20"/>
                <w:szCs w:val="20"/>
                <w:color w:val="auto"/>
              </w:rPr>
            </w:pPr>
          </w:p>
        </w:tc>
        <w:tc>
          <w:tcPr>
            <w:tcW w:w="77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redemption.</w:t>
            </w: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Denomination:</w:t>
            </w:r>
          </w:p>
        </w:tc>
        <w:tc>
          <w:tcPr>
            <w:tcW w:w="77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$2,000 and integral multiples of $1,000 in excess thereof</w:t>
            </w: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77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896442AL4 / US896442AL44</w:t>
            </w:r>
          </w:p>
        </w:tc>
      </w:tr>
      <w:tr>
        <w:trPr>
          <w:trHeight w:val="41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77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Keefe, Bruyette &amp; Woods, Inc.</w:t>
            </w:r>
          </w:p>
        </w:tc>
      </w:tr>
      <w:tr>
        <w:trPr>
          <w:trHeight w:val="234"/>
        </w:trPr>
        <w:tc>
          <w:tcPr>
            <w:tcW w:w="3400" w:type="dxa"/>
            <w:vAlign w:val="bottom"/>
          </w:tcPr>
          <w:p>
            <w:pPr>
              <w:spacing w:after="0"/>
              <w:rPr>
                <w:sz w:val="20"/>
                <w:szCs w:val="20"/>
                <w:color w:val="auto"/>
              </w:rPr>
            </w:pPr>
          </w:p>
        </w:tc>
        <w:tc>
          <w:tcPr>
            <w:tcW w:w="77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MUFG Securities Americas Inc.</w:t>
            </w:r>
          </w:p>
        </w:tc>
      </w:tr>
      <w:tr>
        <w:trPr>
          <w:trHeight w:val="41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Co-Managers:</w:t>
            </w:r>
          </w:p>
        </w:tc>
        <w:tc>
          <w:tcPr>
            <w:tcW w:w="77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Hancock Whitney Investment Services, Inc.</w:t>
            </w:r>
          </w:p>
        </w:tc>
      </w:tr>
      <w:tr>
        <w:trPr>
          <w:trHeight w:val="234"/>
        </w:trPr>
        <w:tc>
          <w:tcPr>
            <w:tcW w:w="3400" w:type="dxa"/>
            <w:vAlign w:val="bottom"/>
          </w:tcPr>
          <w:p>
            <w:pPr>
              <w:spacing w:after="0"/>
              <w:rPr>
                <w:sz w:val="20"/>
                <w:szCs w:val="20"/>
                <w:color w:val="auto"/>
              </w:rPr>
            </w:pPr>
          </w:p>
        </w:tc>
        <w:tc>
          <w:tcPr>
            <w:tcW w:w="77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RBC Capital Markets, LLC</w:t>
            </w:r>
          </w:p>
        </w:tc>
      </w:tr>
    </w:tbl>
    <w:p>
      <w:pPr>
        <w:ind w:left="4500"/>
        <w:spacing w:after="0"/>
        <w:rPr>
          <w:sz w:val="20"/>
          <w:szCs w:val="20"/>
          <w:color w:val="auto"/>
        </w:rPr>
      </w:pPr>
      <w:r>
        <w:rPr>
          <w:rFonts w:ascii="Times New Roman" w:cs="Times New Roman" w:eastAsia="Times New Roman" w:hAnsi="Times New Roman"/>
          <w:sz w:val="18"/>
          <w:szCs w:val="18"/>
          <w:color w:val="auto"/>
        </w:rPr>
        <w:t>Zions Direct,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Citizens JMP Securities,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Lucid Capital Markets,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Oppenheimer &amp; Co.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securities rating is not a recommendation to buy, sell or hold securities and may be subject to revision or withdrawal at any time.</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4" w:name="page35"/>
    <w:bookmarkEnd w:id="34"/>
    <w:p>
      <w:pPr>
        <w:spacing w:after="0" w:line="257" w:lineRule="auto"/>
        <w:rPr>
          <w:sz w:val="20"/>
          <w:szCs w:val="20"/>
          <w:color w:val="auto"/>
        </w:rPr>
      </w:pPr>
      <w:r>
        <w:rPr>
          <w:rFonts w:ascii="Times New Roman" w:cs="Times New Roman" w:eastAsia="Times New Roman" w:hAnsi="Times New Roman"/>
          <w:sz w:val="18"/>
          <w:szCs w:val="18"/>
          <w:b w:val="1"/>
          <w:bCs w:val="1"/>
          <w:color w:val="auto"/>
        </w:rPr>
        <w:t>**The Issuer expects that delivery of the Notes will be made to investors on or about May 21, 2026, which will be the second business day following the date hereof. Under Rule 15c6- 1 under the Securities Exchange Act of 1934, as amended, trades in the secondary market are required to settle in one business day, unless the parties to any such trade expressly agree otherwise. Accordingly, purchasers who wish to trade Notes on the date hereof or the following business day will be required by virtue of the fact that the Notes initially settle in T+2, to specify an alternate settlement arrangement at the time of any such trade to prevent a failed settlement. Purchasers of the Notes who wish to trade the Notes on the date hereof or the following business day should consult their advisors.</w:t>
      </w:r>
    </w:p>
    <w:p>
      <w:pPr>
        <w:spacing w:after="0" w:line="18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Investors are advised to carefully consider the investment objectives, risks, charges and expenses of the Issuer before investing. The Preliminary Prospectus, which has been filed with the Securities and Exchange Commission (the “SEC”), and the documents incorporated by reference therein, contain these factors and other information about the Issuer and should be read carefully before investing.</w:t>
      </w:r>
    </w:p>
    <w:p>
      <w:pPr>
        <w:spacing w:after="0" w:line="1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The information in the Preliminary Prospectus and in this pricing term sheet is not complete and may be changed. The Preliminary Prospectus and this pricing term sheet are not offers to sell any securities of the Issuer and are not soliciting an offer to buy such securities in any jurisdiction where such offer and sale is not permitted.</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The issuer has filed a shelf registration statement (including a base prospectus) with the SEC for the offering to which this communication relates. Before you invest, you should read the base prospectus in that registration statement, the Preliminary Prospectus and the documents incorporated by reference therein, which the issuer has filed with the SEC, for more complete information about the Issuer and this offering. You may obtain these documents for free by visiting EDGAR on the SEC Web site at www.sec.gov. Alternatively, the Issuer, any underwriter or any dealer participating in the offering will arrange to send you the Preliminary Prospectus if you request it from Keefe, Bruyette &amp; Woods, Inc., 787 7th Avenue, 4th Floor, New York, New York 10019, Attn: Debt Syndicate, by telephone at 1 (800) 966-1559, or from MUFG Securities Americas Inc., 1221 Avenue of the Americas, 6th Floor, New York, New York 10020, by telephone at 1 (877) 649-6848.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EIGHTH SUPPLEMENTAL INDENTURE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TRINITY CAPITAL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191135</wp:posOffset>
            </wp:positionV>
            <wp:extent cx="3206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EIGHTH SUPPLEMENTAL INDENTURE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EIGHTH SUPPLEMENTAL INDENTURE (this “Eighth Supplemental Indenture”), dated as of May 21, 2026, is between Trinity Capital Inc., a Maryland corporation (the “Company”), and U.S. Bank Trust Company, National Association, as trustee (the “Trustee”). All capitalized terms used herein shall have the meaning set forth in the Base Indenture (as defined below) unless otherwise defined 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 OF THE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and the Trustee executed and delivered an Indenture, dated as of January 16, 2020 (the “Base Indenture” and, as supplemented by this Eighth Supplemental Indenture, collectively, the “Indenture”), to provide for the issuance by the Company from time to time of the Company’s unsecured debentures, notes or other evidences of indebtedness (the “Securities”), to be issued in one or more series as provided in the Indenture.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desires to issue and sell $300,000,000 aggregate principal amount of the Company’s 7.000% Notes due 2031 (the “Notes”).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previously entered into the First Supplemental Indenture, dated as of January 16, 2020 (the “First Supplemental Indenture”), the Second Supplemental Indenture, dated as of December 11, 2020 (the “Second Supplemental Indenture”), the Third Supplemental Indenture, dated August 24, 2021 (the “Third Supplemental Indenture”), the Fourth Supplemental Indenture, dated December 15, 2021 (the “Fourth Supplemental Indenture”), the Fifth Supplemental Indenture, dated March 28, 2024 (the “Fifth Supplemental Indenture”), the Sixth Supplemental Indenture, dated July 19, 2024 (the “Sixth Supplemental Indenture”) and the Seventh Supplemental Indenture, dated July 3, 2025 (the “Seventh Supplemental Indenture”), which supplemented the Base Indenture. None of the First Supplemental Indenture, the Second Supplemental Indenture, the Third Supplemental Indenture, the Fourth Supplemental Indenture, the Fifth Supplemental Indenture, the Sixth Supplemental Indenture or the Seventh Supplemental Indenture are applicable to the Notes.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Sections 9.01(iv) and 9.01(vi) of the Base Indenture provide that without the consent of Holders of the Securities of any series issued under the Indenture, the Company, when authorized by or pursuant to a Board Resolution, and the Trustee, at any time and from time to time, may enter into one or more indentures supplemental to the Base Indenture to (i) change or eliminate any of the provisions of the Indenture when there is no Security Outstanding of any series created prior to the execution of a supplemental indenture that is entitled to the benefit of such provision and (ii) establish the form or terms of Securities of any series as permitted by Section 2.01 and Section 3.01 of the Base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desires to establish the form and terms of the Notes and to modify, alter, supplement and change certain provisions of the Base Indenture for the benefit of the Holders of the Notes (except as may be provided in a future supplemental indenture to the Indenture (“Future Supplemental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duly authorized the execution and delivery of this Eighth Supplemental Indenture to provide for the issuance of the Notes and all acts and things necessary to make this Eighth Supplemental Indenture a valid, binding, and legal obligation of the Company and to constitute a valid agreement of the Company, in accordance with its terms, have been done and performed.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Notes by the Holders thereof, it is mutually agreed, for the equal and proportionate benefit of all Holders of the Notes,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Terms of the Notes</w:t>
      </w:r>
      <w:r>
        <w:rPr>
          <w:rFonts w:ascii="Times New Roman" w:cs="Times New Roman" w:eastAsia="Times New Roman" w:hAnsi="Times New Roman"/>
          <w:sz w:val="18"/>
          <w:szCs w:val="18"/>
          <w:color w:val="auto"/>
        </w:rPr>
        <w:t>. The following terms relating to the Notes are hereby established:</w:t>
      </w:r>
    </w:p>
    <w:p>
      <w:pPr>
        <w:spacing w:after="0" w:line="225" w:lineRule="exact"/>
        <w:rPr>
          <w:sz w:val="20"/>
          <w:szCs w:val="20"/>
          <w:color w:val="auto"/>
        </w:rPr>
      </w:pPr>
    </w:p>
    <w:p>
      <w:pPr>
        <w:ind w:right="20" w:firstLine="656"/>
        <w:spacing w:after="0" w:line="282" w:lineRule="auto"/>
        <w:tabs>
          <w:tab w:leader="none" w:pos="90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constitute a series of Securities having the title “7.000% Notes due 2031” and shall be designated as Senior Securities under the Indenture. The Notes shall bear a CUSIP number of 896442 AL4 and an ISIN number of US896442AL44.</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4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the Notes that may be initially authenticated and delivered under the Indenture (except for Notes authenticated and delivered upon registration of, transfer of, or in exchange for, or in lieu of, other Notes pursuant to Sections 3.04, 3.05, 3.06, 9.06 or 11.07 of the Base Indenture) shall be $300,000,000. Under a Board Resolution, Officers’ Certificate pursuant to Board Resolutions or an indenture supplement, the Company may from time to time, without the consent of the Holders of Notes, issue additional Notes (in any such case “Additional Notes”) having the same ranking and the same interest rate, maturity, CUSIP number and other terms as the Notes (except for the issue date, offering price and, if applicable, the initial interest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Notes must either (i) be issued in a “qualified reopening” for U.S. Federal income tax purposes, with no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original issue discount, or otherwise (ii) be part of the same issue as the Notes for U.S. federal income tax purposes. Any Additional Notes and the existing Notes will constitute a single series under the Indenture and all references to the relevant Notes herein shall include the Additional Notes unless the context otherwise requires.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8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Outstanding principal amount of the Notes shall be payable on May 21, 2031, unless earlier redeemed or repurchased in accordance with the provisions of this Eighth Supplemental Indenture.</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90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rate at which the Notes shall bear interest shall be 7.000% per annum (the “Applicable Interest Rate”). The date from which interest shall accrue on the Notes shall be May 21, 2026, or the most recent Interest Payment Date to which interest has been paid or provided for; the Interest Payment Dates for the Notes shall be November 21 and May 21 of each year, commencing November 21, 2026 (if an Interest Payment Date falls on a day that is not a Business Day, then the applicable interest payment will be made on the next succeeding Business Day with the same force and effect as if made on the scheduled Interest Payment Date and no additional interest will accrue as a result of such delayed payment); the initial interest period will be the period from and including May 21, 2026 (or the most recent Interest Payment Date to which interest has been paid or provided for), to, but excluding, the initial Interest Payment Date, and the subsequent interest periods will be the periods from and including an Interest Payment Date to, but excluding, the next Interest Payment Date or the Stated Maturity, as the case may be; the interest so payable, and punctually paid or duly provided for, on any Interest Payment Date, will be paid to the Person in whose name the Note (or one or more predecessor Notes) is registered at the close of business on the Regular Record Date for such interest, which shall be November 6 and May 6 (whether or not a Business Day), as the case may be, next preceding such Interest Payment Date. Payment of principal of (and premium, if any) and any such interest on the Notes will be made at the Corporate Trust Office of the Paying Agent, which shall initially be the Trustee,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 of Notes that are not in global form, at the option of the Company, payment of interest may be made by check mailed to the address of the Person entitled thereto as such address shall appear in the Security Register. Interest on the Notes will be computed on the basis of a 360-day year of twelve 30-day months. The Trustee will have no obligation to calculate or verify the calculation of the accrued and unpaid interest payable on the Notes.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56"/>
        <w:spacing w:after="0" w:line="256" w:lineRule="auto"/>
        <w:tabs>
          <w:tab w:leader="none" w:pos="91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Notes shall be initially issuable in global form (each such Note, a “Global Note”). The Global Notes and the Trustee’s certificate of authentication thereon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Eighth Supplemental Indenture. Each Global Note shall represent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and redemptions. Any endorsement of a Global Note to reflect the amount of any increase or decrease in the amount of Outstanding Notes represented thereby shall be made by the Trustee or the Security Registrar, in accordance with Sections 2.03 and 3.05 of the Base Indenture.</w:t>
      </w:r>
    </w:p>
    <w:p>
      <w:pPr>
        <w:spacing w:after="0" w:line="18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for such Global Notes shall be the Depositary Custodian. The Security Registrar with respect to the Global Notes shall be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92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defeasible pursuant to Section 14.02 or Section 14.03 of the Base Indenture. Covenant defeasance contained in Section 14.03 of the Base Indenture shall apply to the covenants contained in Sections 10.07, 10.08 and 10.09 of the Indenture.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redeemable pursuant to Section 11.01 of the Base Indenture and as follows: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2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61" w:lineRule="exact"/>
        <w:rPr>
          <w:rFonts w:ascii="Times New Roman" w:cs="Times New Roman" w:eastAsia="Times New Roman" w:hAnsi="Times New Roman"/>
          <w:sz w:val="18"/>
          <w:szCs w:val="18"/>
          <w:color w:val="auto"/>
        </w:rPr>
      </w:pPr>
    </w:p>
    <w:p>
      <w:pPr>
        <w:ind w:left="2820" w:hanging="220"/>
        <w:spacing w:after="0"/>
        <w:tabs>
          <w:tab w:leader="none" w:pos="282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and</w:t>
      </w:r>
    </w:p>
    <w:p>
      <w:pPr>
        <w:spacing w:after="0" w:line="225" w:lineRule="exact"/>
        <w:rPr>
          <w:rFonts w:ascii="Times New Roman" w:cs="Times New Roman" w:eastAsia="Times New Roman" w:hAnsi="Times New Roman"/>
          <w:sz w:val="18"/>
          <w:szCs w:val="18"/>
          <w:color w:val="auto"/>
        </w:rPr>
      </w:pPr>
    </w:p>
    <w:p>
      <w:pPr>
        <w:jc w:val="both"/>
        <w:ind w:left="1960" w:firstLine="640"/>
        <w:spacing w:after="0" w:line="266" w:lineRule="auto"/>
        <w:tabs>
          <w:tab w:leader="none" w:pos="288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45 basis points less (b) interest accrued to the Redemption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On or after the Par Call Date, the Company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For purposes of calculating the Redemption Price in connection with the redemption of the Notes, on any Redemption Date, the following terms have the meanings set forth below:</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means April 21, 2031.</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 paragraphs.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97"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jc w:val="both"/>
        <w:ind w:left="4" w:firstLine="644"/>
        <w:spacing w:after="0" w:line="256" w:lineRule="auto"/>
        <w:tabs>
          <w:tab w:leader="none" w:pos="92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redemption shall be given in writing and mailed, first-class postage prepaid or by overnight courier guaranteeing next-day delivery, or sent electronically in accordance with Applicable Procedures with respect to Notes in global form, to each Holder of the Notes to be redeemed, not less than 10 nor more than 60 days prior to the Redemption Date, at the Holder’s address appearing in the Security Register. All notices of redemption shall contain the information set forth in Section 11.04 of the Base Indenture. If the Redemption Price is not known at the time such notice is to be given, the actual Redemption Price, calculated as described in the terms of the Notes, will be set forth in an Officers’ Certificate of the Company delivered to the Trustee no later than two Business Days prior to the Redemption Date.</w:t>
      </w:r>
    </w:p>
    <w:p>
      <w:pPr>
        <w:spacing w:after="0" w:line="187" w:lineRule="exact"/>
        <w:rPr>
          <w:rFonts w:ascii="Times New Roman" w:cs="Times New Roman" w:eastAsia="Times New Roman" w:hAnsi="Times New Roman"/>
          <w:sz w:val="18"/>
          <w:szCs w:val="18"/>
          <w:color w:val="auto"/>
        </w:rPr>
      </w:pPr>
    </w:p>
    <w:p>
      <w:pPr>
        <w:ind w:left="4" w:firstLine="644"/>
        <w:spacing w:after="0" w:line="282" w:lineRule="auto"/>
        <w:tabs>
          <w:tab w:leader="none" w:pos="98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of the Company’s option to redeem the Notes will be done in compliance with the Investment Company Act, to the extent applicable.</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5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elects to redeem only a portion of the Notes, the particular Notes to be redeemed will be selected by the Trustee on a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basis to the extent practicable, or, if a</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basis is not practicable for any reason, by lot or in such other manner as the Trustee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deem fair and appropriate, and in any case in accordance with the applicable procedures of the Depositary and in accordance with the Investment Company Act as directed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partial redemption shall reduce the portion of the principal amount of a Note not redeemed to less than $2,000.</w:t>
      </w:r>
    </w:p>
    <w:p>
      <w:pPr>
        <w:spacing w:after="0" w:line="183"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91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Notes called for redemption hereunder.</w:t>
      </w:r>
    </w:p>
    <w:p>
      <w:pPr>
        <w:spacing w:after="0" w:line="161"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not be subject to any sinking fund pursuant to Section 12.01 of the Base Indenture.</w:t>
      </w: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9" w:name="page40"/>
    <w:bookmarkEnd w:id="39"/>
    <w:p>
      <w:pPr>
        <w:ind w:left="880" w:hanging="224"/>
        <w:spacing w:after="0"/>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issuable in denominations of $2,000 and integral multiples of $1,000 in excess thereof.</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Notes will not have the option to have the Notes repaid prior to the Stated Maturity other than in accordance with Article Thirteen of the Indenture.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OTHER PROVISIONS OF GENERAL APPLICATION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2.01 Except as may be provided in a Future Supplemental Indenture, for the benefit of the Holders of the Notes but no other series of Securities under the Indenture, whether now or hereafter issued and Outstanding, Article One of the Base Indenture shall be amended by adding the following defined terms to Section 1.01 of the Base Indenture in appropriate alphabetical sequence, as follows: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Below Investment Grade Rating Event</w:t>
      </w:r>
      <w:r>
        <w:rPr>
          <w:rFonts w:ascii="Times New Roman" w:cs="Times New Roman" w:eastAsia="Times New Roman" w:hAnsi="Times New Roman"/>
          <w:sz w:val="18"/>
          <w:szCs w:val="18"/>
          <w:color w:val="auto"/>
        </w:rPr>
        <w:t xml:space="preserve">” means the Notes are downgraded below Investment Grade by the Rating Agency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the Rating Agency);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Agency making the reduction in rating to which this definition would otherwise apply do not announce or publicly confirm or inform the Company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225" w:lineRule="exact"/>
        <w:rPr>
          <w:sz w:val="20"/>
          <w:szCs w:val="20"/>
          <w:color w:val="auto"/>
        </w:rPr>
      </w:pPr>
    </w:p>
    <w:p>
      <w:pPr>
        <w:jc w:val="both"/>
        <w:ind w:left="660" w:firstLine="644"/>
        <w:spacing w:after="0" w:line="258" w:lineRule="auto"/>
        <w:tabs>
          <w:tab w:leader="none" w:pos="15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 secured debt instrument of the Company or its Controlled Subsidiaries shall not be deemed to be any such sale, lease, transfer, conveyance or disposition;</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8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the Company, measured by voting power rather than number of shares; or</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Company’s stockholders of any plan or proposal relating to the liquidation or dissolution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Repurchase Event</w:t>
      </w:r>
      <w:r>
        <w:rPr>
          <w:rFonts w:ascii="Times New Roman" w:cs="Times New Roman" w:eastAsia="Times New Roman" w:hAnsi="Times New Roman"/>
          <w:sz w:val="18"/>
          <w:szCs w:val="18"/>
          <w:color w:val="auto"/>
        </w:rPr>
        <w:t>” means the occurrence of a Change of Control and a Below Investment Grade Rating Event.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Subsidiary</w:t>
      </w:r>
      <w:r>
        <w:rPr>
          <w:rFonts w:ascii="Times New Roman" w:cs="Times New Roman" w:eastAsia="Times New Roman" w:hAnsi="Times New Roman"/>
          <w:sz w:val="18"/>
          <w:szCs w:val="18"/>
          <w:color w:val="auto"/>
        </w:rPr>
        <w:t>” 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with respect to each Note in global form, The Depository Trust Company, until a successor shall have been appointed and becomes such person, and thereafter, Depositary shall mean or include such successor.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w:t>
      </w:r>
      <w:r>
        <w:rPr>
          <w:rFonts w:ascii="Times New Roman" w:cs="Times New Roman" w:eastAsia="Times New Roman" w:hAnsi="Times New Roman"/>
          <w:sz w:val="18"/>
          <w:szCs w:val="18"/>
          <w:color w:val="auto"/>
        </w:rPr>
        <w:t>” means a rating of Baa3 or better by Moody’s (or its equivalent under any successor rating categories of Moody’s), (or if the Rating Agency ceases to rate the Notes for reasons outside of the Company’s control, the equivalent investment grade credit rating from any Rating Agency selected by the Company as a replacement Rating Agency).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or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(i) the Company, (ii) one or more of the Company’s Controlled Subsidiaries.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Agency</w:t>
      </w:r>
      <w:r>
        <w:rPr>
          <w:rFonts w:ascii="Times New Roman" w:cs="Times New Roman" w:eastAsia="Times New Roman" w:hAnsi="Times New Roman"/>
          <w:sz w:val="18"/>
          <w:szCs w:val="18"/>
          <w:color w:val="auto"/>
        </w:rPr>
        <w:t>” means (1) Moody’s; and (2) if Moody’s ceases to rate the Notes or fails to make a rating of the Notes publicly available for reasons outside of the Company’s control, a “nationally recognized statistical rating organization” as defined in Section 3(a)(62) of the Exchange Act selected by the Company as a replacement agency for Moody’s.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any Subsidiary that would be a “significant subsidiary” as defined in Article 1, Rule 1-02 of Regulation S-X under the Exchange Act, as such regulation is in effect on the original date of this Indenture (but excluding any Subsidiary which is (a) a non-recourse or limited recourse Subsidiary, (b) a bankruptcy remote special purpose vehicle or (c) is not consolidated with the Company for purposes of GAAP).</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REMEDIES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3.01 Except as may be provided in a Future Supplemental Indenture, for the benefit of the Holders of the Notes but no other series of Securities under the Indenture, whether now or hereafter issued and Outstanding, Section 5.01 of the Base Indenture shall be amended by replacing clause (ii) thereof with the following:</w:t>
      </w:r>
    </w:p>
    <w:p>
      <w:pPr>
        <w:spacing w:after="0" w:line="176" w:lineRule="exact"/>
        <w:rPr>
          <w:sz w:val="20"/>
          <w:szCs w:val="20"/>
          <w:color w:val="auto"/>
        </w:rPr>
      </w:pPr>
    </w:p>
    <w:p>
      <w:pPr>
        <w:ind w:left="1300" w:right="20" w:hanging="647"/>
        <w:spacing w:after="0" w:line="282" w:lineRule="auto"/>
        <w:rPr>
          <w:sz w:val="20"/>
          <w:szCs w:val="20"/>
          <w:color w:val="auto"/>
        </w:rPr>
      </w:pPr>
      <w:r>
        <w:rPr>
          <w:rFonts w:ascii="Times New Roman" w:cs="Times New Roman" w:eastAsia="Times New Roman" w:hAnsi="Times New Roman"/>
          <w:sz w:val="18"/>
          <w:szCs w:val="18"/>
          <w:color w:val="auto"/>
        </w:rPr>
        <w:t>“(ii) default in the payment of the principal of (or premium, if any, on) any Note when it becomes due and payable at its Maturity, including upon any Redemption Date or required repurchase date; 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3.02 Except as may be provided in a Future Supplemental Indenture, for the benefit of the Holders of the Notes but no other series of Securities under the Indenture, whether now or hereafter issued and Outstanding, Section 5.01 of the Base Indenture shall be amended by adding the following language as clause (ix):</w:t>
      </w:r>
    </w:p>
    <w:p>
      <w:pPr>
        <w:spacing w:after="0" w:line="176" w:lineRule="exact"/>
        <w:rPr>
          <w:sz w:val="20"/>
          <w:szCs w:val="20"/>
          <w:color w:val="auto"/>
        </w:rPr>
      </w:pPr>
    </w:p>
    <w:p>
      <w:pPr>
        <w:jc w:val="both"/>
        <w:ind w:left="1300" w:hanging="647"/>
        <w:spacing w:after="0" w:line="254" w:lineRule="auto"/>
        <w:rPr>
          <w:sz w:val="20"/>
          <w:szCs w:val="20"/>
          <w:color w:val="auto"/>
        </w:rPr>
      </w:pPr>
      <w:r>
        <w:rPr>
          <w:rFonts w:ascii="Times New Roman" w:cs="Times New Roman" w:eastAsia="Times New Roman" w:hAnsi="Times New Roman"/>
          <w:sz w:val="18"/>
          <w:szCs w:val="18"/>
          <w:color w:val="auto"/>
        </w:rPr>
        <w:t>“(ix): default by the Company or any of its Significant Subsidiaries, after giving effect to any applicable grace periods and any applicable extensions, with respect to any mortgage, agreement or other instrument under which there may be outstanding, or by which there may be secured or evidenced, any indebtedness for money borrowed in excess of $50 million in the aggregate of the Company and/or any such Significant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Notes then Outstanding.”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3.03 Except as may be provided in a Future Supplemental Indenture, for the benefit of the Holders of the Notes but no other series of Securities under the Indenture, whether now or hereafter issued and Outstanding, Section 5.02 of the Base Indenture shall be amended by replacing the first paragraph of Section 5.02 with the following:</w:t>
      </w:r>
    </w:p>
    <w:p>
      <w:pPr>
        <w:spacing w:after="0" w:line="17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“If an Event of Default with respect to the Notes occurs and is continuing, then and in every such case (other than an Event of Default specified in Section 5.01(v) or 5.01(vi)), the Trustee or the Holders of not less than 25% in principal amount of the Outstanding Notes may declare the principal of all the Outstanding Notes to be due and payable immediately, by a notice in writing to the Company (and to the Trustee if given by the Holders), and upon any such declaration such principal shall become immediately due and payable;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100% of the principal of, and accrued and unpaid interest on, the Notes will automatically become due and payable in the case of an Event of Default specified in Section 5.01(v) or 5.01(vi) 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4.01 Except as may be provided in a Future Supplemental Indenture, for the benefit of the Holders of the Notes but no other series of Securities under the Indenture, whether now or hereafter issued and Outstanding, Article Ten of the Base Indenture shall be amended by adding the following new Sections 10.07 and 10.08 thereto, each as set forth below: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Section 18(a)(1)(A) of the Investment Company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hereby agrees that for the period of time during which Notes are Outstanding, the Company will not violate, whether or not it is subject to, Section 18(a)(1)(A) as modified by Section 61(a) of the Investment Company Act or any successor provisions thereto of the Investment Company Act, giving effect to any exemptive relief granted to the Company by the Commission.”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Commission Reports and Reports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at any time, the Company is not subject to the reporting requirements of Sections 13 or 15(d) of the Exchange Act to file any periodic reports with the Commission, the Company agrees to furnish to the Holders of Notes and the Trustee for the period of time during which the Notes are Outstanding: (i) within 90 days after the end of each fiscal year of the Company, audited annual consolidated financial statements of the Company and (ii) within 45 days after the end of each fiscal quarter of the Company (other than the Company’s fourth fiscal quarter), unaudited interim consolidated financial statements of the Company. All such financial statements shall be prepared, in all material respects, in accordance with GAAP, as applicable.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exclusively on Officers’ Certificates).”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5.01 Neither the Trustee nor any Paying Agent shall be responsible for determining whether any Change of Control or Below Investment Grade Rating Event has occurred and whether any Change of Control offer with respect to the Notes is required.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REPURCHASE UPON A CHANGE OF CONTROL REPURCHASE EVENT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6.01 Except as may be provided in a Future Supplemental Indenture, for the benefit of the Holders of the Notes but no other series of Securities under the Indenture, whether now or hereafter issued and Outstanding, Article Thirteen of the Base Indenture shall be amended by replacing Sections 13.01 to 13.05 thereto with the following: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 Change of Control Repurchase Event occurs, unless the Company shall have exercised its right to redeem the Notes in full, the Company shall make an offer to each Holder of the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the Company’s option, prior to any Change of Control, but after the public announcement of the Change of Control, the Company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The Company shall comply with the requirements of Rule 14e-1 under the Exchange Act and any other securities laws and regulations thereunder to the extent those laws and regulations are applicable in connection with the repurchase of the Notes as a result of a Change of Control Repurchase Event.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that the provisions of any securities laws or regulations conflict with this Section 13.01, the Company shall comply with the applicable securities laws and regulations and shall not be deemed to have breached its obligations under this Section 13.01 by virtue of such conflict.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the Change of Control Repurchase Event payment date, subject to extension if necessary to comply with the provisions of the Investment Company Act, the Company shall, to the extent lawful:</w:t>
      </w:r>
    </w:p>
    <w:p>
      <w:pPr>
        <w:spacing w:after="0" w:line="162" w:lineRule="exact"/>
        <w:rPr>
          <w:sz w:val="20"/>
          <w:szCs w:val="20"/>
          <w:color w:val="auto"/>
        </w:rPr>
      </w:pPr>
    </w:p>
    <w:p>
      <w:pPr>
        <w:ind w:left="1560" w:hanging="256"/>
        <w:spacing w:after="0"/>
        <w:tabs>
          <w:tab w:leader="none" w:pos="1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its offer;</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purchase price in respect of all Notes or portions of Notes properly tendered; and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being purchased by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Paying Agent will promptly remit to each Holder of Notes properly tendered the purchase price for the Notes, and the Trustee will promptly authenticate upon receipt of a Company Order and mail (or cause to be transferred by book-entry) to each Holder a new Note equal in principal amount to any unpurchased portion of any Notes surrendered;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new Note will be in a minimum principal amount of $2,000 or an integral multiple of $1,000 in excess thereof.</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any Repayment Date upon a Change of Control Repurchase Event falls on a day that is not a Business Day, then the required payment will be made on the next succeeding Business Day and no additional interest will accrue as a result of such delayed payment.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not be required to make an offer to repurchase the Notes upon a Change of Control Repurchase Event if a third party makes an offer in respect of the Notes in the manner, at the time and otherwise in compliance with the requirements for an offer made by the Company and such third party purchases all Notes properly tendered and not withdrawn under its offer.”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7.01 This Eighth Supplemental Indenture and the Notes shall be governed by and construed in accordance with the laws of the State of New York, without regard to principles of conflicts of laws that would cause the application of laws of another jurisdiction. This Eighth Supplemental Indenture is subject to the provisions of the Trust Indenture Act that are required to be part of the Indenture and shall, to the extent applicable, be governed by such provisions. If any provision of the Indenture limits, qualifies or conflicts with the duties imposed by Section 318(c) of the Trust Indenture Act, the imposed duties will control.</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7.02 In case any provision in this Eighth Supplemental Indenture or in the Notes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7.03 This Eighth Supplemental Indenture may be executed in any number of counterparts, each of which will be an original, but such counterparts will together constitute but one and the same Eighth Supplemental Indenture. The exchange of copies of this Eighth Supplemental Indenture and the execution and the delivery of the Notes and of signature pages by facsimile, .pdf transmission, email or other electronic means (including DocuSign) shall constitute effective execution and delivery of this Eighth Supplemental Indenture and such Notes for all purposes. Signatures of the parties hereto transmitted by facsimile, .pdf transmission, email or other electronic means (including DocuSign) shall be deemed to be their original signatures for all purposes. For the avoidance of doubt, all notices, approvals, consents, requests and any communications hereunder or with respect to this Eighth Supplemental Indenture and the Notes must be in writing (provided that any communication sent to Trustee hereunder must be in the form of a document that is signed manually or by way of a digital signature provided by DocuSign or Adobe (or such other digital signature provider as specified in writing to Trustee by the authorized representative), in English.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7.04 The Base Indenture, as supplemented and amended by this Eighth Supplemental Indenture, is in all respects ratified and confirmed, and the Base Indenture and this Eighth Supplemental Indenture shall be read, taken and construed as one and the same instrument with respect to the Notes. All provisions included in this Eighth Supplemental Indenture supersede any conflicting provisions included in the Base Indenture with respect to the Notes, unless not permitted by law. The Trustee accepts the trusts created by the Indenture, as supplemented by this Eighth Supplemental Indenture, and agrees to perform the same upon the terms and conditions of the Indenture, as supplemented by this Eighth Supplemental Indenture. All of the provisions contained in the Base Indenture in respect of the rights, privileges, immunities, indemnities, powers, and duties of the Trustee shall be applicable in respect of this Eighth Supplemental Indenture as fully and with like force and effect as though fully set forth in full herein.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7.05 The provisions of this Eighth Supplemental Indenture shall become effective as of the date hereof.</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7.06 Notwithstanding anything else to the contrary herein, the terms and provisions of this Eighth Supplemental Indenture shall apply only to the Notes and shall not apply to any other series of Securities under the Indenture and this Eighth Supplemental Indenture shall not and does not otherwise affect, modify, alter, supplement or change the terms and provisions of any other series of Securities under the Indenture, whether now or hereafter issued and Outstanding.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7.07 The recitals contained herein and in the Notes shall be taken as the statements of the Company, and the Trustee assumes no responsibility for their correctness. The Trustee makes no representations as to and shall not be responsible for the validity or sufficiency of this Eighth Supplemental Indenture, the Notes or any Additional Notes, except that the Trustee represents that it is duly authorized to execute and deliver this Eighth Supplemental Indenture, authenticate the Notes and any Additional Notes and perform its obligations hereunder. The Trustee shall not be accountable for the use or application by the Company of the Notes or any Additional Notes or the proceeds thereof.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Eighth Supplemental Indenture to be duly executed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TRINITY CAPITAL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Kyle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Kyle Brown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Chief</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Investment Officer</w:t>
      </w:r>
    </w:p>
    <w:p>
      <w:pPr>
        <w:spacing w:after="0" w:line="2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Stacy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Stacy Mitchell</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Eighth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 – Form of Global Note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Trinity Capital Inc.</w:t>
      </w:r>
    </w:p>
    <w:p>
      <w:pPr>
        <w:spacing w:after="0" w:line="229" w:lineRule="exact"/>
        <w:rPr>
          <w:sz w:val="20"/>
          <w:szCs w:val="20"/>
          <w:color w:val="auto"/>
        </w:rPr>
      </w:pPr>
    </w:p>
    <w:p>
      <w:pPr>
        <w:ind w:left="20"/>
        <w:spacing w:after="0"/>
        <w:tabs>
          <w:tab w:leader="none" w:pos="830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Initially $</w:t>
      </w:r>
    </w:p>
    <w:p>
      <w:pPr>
        <w:spacing w:after="0" w:line="225"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CUSIP No. 896442 AL4</w:t>
      </w:r>
    </w:p>
    <w:p>
      <w:pPr>
        <w:spacing w:after="0" w:line="225"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ISIN No. US896442AL44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7.000% Notes due 2031</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Trinity Capital Inc., a corporation duly organized and existing under the laws of Maryland (herein called the “Company”, which term includes any successor Person under the Indenture hereinafter referred to), for value received, hereby promises to pay to Cede &amp; Co., or registered assigns, the principal sum of [__] dollars (U.S. $[__]), or such other principal sum as shall be set forth in the Schedule of Increases or Decreases attached hereto, on May 21, 2031, and to pay interest thereon from May 21, 2026 or from the most recent Interest Payment Date to which interest has been paid or duly provided for, semi-annually on November 21 and May 21 in each year, commencing November 21, 2026, at the rate of 7.000% per annum, until the principal hereof is paid or made available for payment. The interest so payable, and punctually paid or duly provided for, on any Interest Payment Date will, as provided in such Indenture, be paid to the Person in whose name this Security is registered at the close of business on the Regular Record Date for such interest, which shall be November 6 and May 6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is registered at the close of business on a Special Record Date for the payment of such Defaulted Interest to be fixed by the Company,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Payment of the principal of (and premium, if any) and any such interest on this Security will be made at the Corporate Trust Office of the Paying Agent, which shall initially be the Trustee,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at the option of the Company payment of interest may be made by check mailed to the address of the Person entitled thereto as such address shall appear in the Security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so long as this Security is registered to Cede &amp; Co., such payment will be made by wire transfer in accordance with the procedures established by the Depository Trust Company and the Trustee.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TRINITY CAPITAL INC.</w:t>
      </w:r>
    </w:p>
    <w:p>
      <w:pPr>
        <w:spacing w:after="0" w:line="2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U.S. BANK TRUST COMPANY, NATIONAL</w:t>
      </w:r>
    </w:p>
    <w:p>
      <w:pPr>
        <w:spacing w:after="0" w:line="3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6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320" w:top="904" w:right="14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[BACK OF NOTE]</w:t>
      </w: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Trinity Capital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7.000% Notes due 2031</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“Securities”), issued and to be issued in one or more series under an Indenture, dated as of January 16, 2020 (herein called the “Base Indenture”, which term shall have the meaning assigned to it in such instrument), between the Company and U.S. Bank Trust Company, National Association,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by the Eighth Supplemental Indenture, relating to the Securities, dated as of May 21, 2026, by and between the Company and the Trustee (herein called the “Eighth Supplemental Indenture”; and together with the Base Indenture, the “Indenture”). In the event of any conflict between the Base Indenture and the Eighth Supplemental Indenture, the Eighth Supplemental Indenture shall govern and control.</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This Security is one of the series designated on the face hereof, initially limited in aggregate principal amount to $300,000,000. Under a Board Resolution, Officers’ Certificate pursuant to Board Resolutions or an indenture supplement, the Company may from time to time, without the consent of the Holders of Securities, issue additional Securities of this series (in any such case “Additional Securities”) having the same ranking and the same interest rate, maturity, CUSIP number and other terms as the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Securities must either (i) be issued in a “qualified reopening” for U.S. Federal income tax purposes, with no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original issue discount, or otherwise (ii) be part of the same issue as the Securities for U.S. federal income tax purposes.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Prior to the Par Call Date, the Company may redeem the Securities of this series at its option, in whole or in part, at any time and from time to time, at a Redemption Price (expressed as a percentage of principal amount and rounded to three decimal places) equal to the greater of:</w:t>
      </w:r>
    </w:p>
    <w:p>
      <w:pPr>
        <w:spacing w:after="0" w:line="162" w:lineRule="exact"/>
        <w:rPr>
          <w:sz w:val="20"/>
          <w:szCs w:val="20"/>
          <w:color w:val="auto"/>
        </w:rPr>
      </w:pPr>
    </w:p>
    <w:p>
      <w:pPr>
        <w:ind w:left="1520" w:hanging="216"/>
        <w:spacing w:after="0"/>
        <w:tabs>
          <w:tab w:leader="none" w:pos="1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 and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45 basis points less (b) interest accrued to the redemption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Securities of this series, in whole or in part, at any time and from time to time, at a Redemption Price equal to 100% of the principal amount of the Securities being redeemed plus accrued and unpaid interest thereon to the Redemption Date.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purposes of calculating the Redemption Price in connection with the redemption of the Securities, on any Redemption Date, the following terms have the meanings set forth below: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 Call Date” means April 21, 2031.</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Notice of redemption shall be given in writing and mailed, first-class postage prepaid or by overnight courier guaranteeing next-day delivery, or sent electronically in accordance with Applicable Procedures with respect to Securities in global form, to each Holder of the Securities to be redeemed, not less than 10 nor more than 60 days prior to the Redemption Date, at the Holder’s address appearing in the Security Register. All notices of redemption shall contain the information set forth in Section 11.04 of the Base Indenture.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exercise of the Company’s option to redeem the Securities will be done in compliance with the Investment Company Act, to the extent applicable.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the Company elects to redeem only a portion of the Securities, the particular Securities to be redeemed will be selected by the Trustee in accordance with the applicable procedures of the Depositary and in accordance with the Investment Company Act. In the event of redemption of this Security in part only, a new Security or Securities of this series and of like tenor for the unredeemed portion hereof will be issued in the name of the Holder hereof upon the cancellation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partial redemption shall reduce the portion of the principal amount of a Security not redeemed to less than $2,000.</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Securities called for redemption.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will have the right to require the Company to repurchase their Securities upon the occurrence of a Change of Control Repurchase Event as set forth in the Indenture.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Securities of this series shall occur and be continuing (other than Events of Default related to certain events of bankruptcy, insolvency or reorganization as set forth in the Indenture), the principal of the Securities of this series may be declared due and payable in the manner and with the effect provided in the Indenture. In the case of certain events of bankruptcy, insolvency or reorganization described in the Indenture, 100% of the principal of and accrued and unpaid interest on the Securities will automatically become due and payable.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and/or security satisfactory to it against the costs, expenses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and/or security. The foregoing shall not apply to any suit instituted by the Holder of this Security for the enforcement of any payment of principal hereof or any premium or interest hereon on or after the respective due dates expressed herein.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of this series are issuable only in registered form without coupons in denominations of $2,000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or Trustee may require payment of a sum sufficient to cover any tax or other governmental charge payable in connection therewith.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any provision of this Security conflicts with the express provisions of the Indenture, the provisions of the Indenture shall govern and be controlling.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 and this Security shall be governed by and construed in accordance with the laws of the State of New York, without regard to principles of conflicts of laws.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ind w:left="49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ssignment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orm</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7" w:lineRule="exact"/>
        <w:rPr>
          <w:sz w:val="20"/>
          <w:szCs w:val="20"/>
          <w:color w:val="auto"/>
        </w:rPr>
      </w:pPr>
    </w:p>
    <w:p>
      <w:pPr>
        <w:ind w:left="20" w:right="7979" w:hanging="8"/>
        <w:spacing w:after="0" w:line="250" w:lineRule="auto"/>
        <w:tabs>
          <w:tab w:leader="none" w:pos="24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635</wp:posOffset>
            </wp:positionV>
            <wp:extent cx="57003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ind w:left="560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nsert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ssignee</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egal</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ame</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17145</wp:posOffset>
            </wp:positionV>
            <wp:extent cx="59836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Note on the books of the Company. The agent may substitute another to act for him.</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5715</wp:posOffset>
            </wp:positionV>
            <wp:extent cx="11315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14605</wp:posOffset>
            </wp:positionV>
            <wp:extent cx="49891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3" w:lineRule="exact"/>
        <w:rPr>
          <w:sz w:val="20"/>
          <w:szCs w:val="20"/>
          <w:color w:val="auto"/>
        </w:rPr>
      </w:pPr>
    </w:p>
    <w:p>
      <w:pPr>
        <w:jc w:val="right"/>
        <w:ind w:right="659"/>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10712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ind w:left="5480" w:right="1059" w:hanging="5468"/>
        <w:spacing w:after="0" w:line="808" w:lineRule="auto"/>
        <w:tabs>
          <w:tab w:leader="none" w:pos="13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color w:val="auto"/>
        </w:rPr>
        <w:t>OPTION OF HOLDER TO ELECT PURCHASE</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If you want to elect to have this Note purchased by the Company pursuant to Section 13.01 of the Indenture, check the box below:</w:t>
      </w:r>
    </w:p>
    <w:p>
      <w:pPr>
        <w:spacing w:after="0" w:line="22" w:lineRule="exact"/>
        <w:rPr>
          <w:sz w:val="20"/>
          <w:szCs w:val="20"/>
          <w:color w:val="auto"/>
        </w:rPr>
      </w:pPr>
    </w:p>
    <w:p>
      <w:pPr>
        <w:ind w:left="1640" w:hanging="200"/>
        <w:spacing w:after="0"/>
        <w:tabs>
          <w:tab w:leader="none" w:pos="1640" w:val="left"/>
        </w:tabs>
        <w:numPr>
          <w:ilvl w:val="0"/>
          <w:numId w:val="5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Section 13.01</w:t>
      </w:r>
    </w:p>
    <w:p>
      <w:pPr>
        <w:spacing w:after="0" w:line="212" w:lineRule="exact"/>
        <w:rPr>
          <w:sz w:val="20"/>
          <w:szCs w:val="20"/>
          <w:color w:val="auto"/>
        </w:rPr>
      </w:pPr>
    </w:p>
    <w:p>
      <w:pPr>
        <w:ind w:firstLine="881"/>
        <w:spacing w:after="0" w:line="282" w:lineRule="auto"/>
        <w:rPr>
          <w:sz w:val="20"/>
          <w:szCs w:val="20"/>
          <w:color w:val="auto"/>
        </w:rPr>
      </w:pPr>
      <w:r>
        <w:rPr>
          <w:rFonts w:ascii="Times New Roman" w:cs="Times New Roman" w:eastAsia="Times New Roman" w:hAnsi="Times New Roman"/>
          <w:sz w:val="18"/>
          <w:szCs w:val="18"/>
          <w:color w:val="auto"/>
        </w:rPr>
        <w:t>If you want to elect to have only part of the Note purchased by the Company pursuant to Section 13.01 of the Indenture, state the amount you elect to have purchased:</w:t>
      </w:r>
    </w:p>
    <w:p>
      <w:pPr>
        <w:spacing w:after="0" w:line="1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10629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11315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1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17145</wp:posOffset>
            </wp:positionV>
            <wp:extent cx="49891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2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17145</wp:posOffset>
            </wp:positionV>
            <wp:extent cx="47059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10712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ind w:left="5480" w:right="2080" w:hanging="5468"/>
        <w:spacing w:after="0" w:line="777" w:lineRule="auto"/>
        <w:tabs>
          <w:tab w:leader="none" w:pos="2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color w:val="auto"/>
        </w:rPr>
        <w:t>SCHEDULE OF INCREASES AND DECREASES OF GLOBAL NOTE</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initial principal amount of this Global Note is $______. The following increases and decreases to this Global Note have been made: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Amount at</w:t>
            </w:r>
          </w:p>
        </w:tc>
        <w:tc>
          <w:tcPr>
            <w:tcW w:w="202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Amount of Decrease in</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Amount of Increase in</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Maturity</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Amount at</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Amount at</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of this Global Note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16"/>
        </w:trPr>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Date of Increase or</w:t>
            </w: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Maturity</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Maturity</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Following such</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Trustee or DTC</w:t>
            </w:r>
          </w:p>
        </w:tc>
      </w:tr>
      <w:tr>
        <w:trPr>
          <w:trHeight w:val="261"/>
        </w:trPr>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Decrease</w:t>
            </w: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of this Global Note</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of this Global Note</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decrease (or increase)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Custodian</w:t>
            </w:r>
          </w:p>
        </w:tc>
      </w:tr>
      <w:tr>
        <w:trPr>
          <w:trHeight w:val="223"/>
        </w:trPr>
        <w:tc>
          <w:tcPr>
            <w:tcW w:w="250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4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20" w:type="dxa"/>
            <w:vAlign w:val="bottom"/>
            <w:tcBorders>
              <w:top w:val="single" w:sz="8" w:color="auto"/>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2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1900 K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62635" cy="6940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62635" cy="694055"/>
                    </a:xfrm>
                    <a:prstGeom prst="rect">
                      <a:avLst/>
                    </a:prstGeom>
                    <a:noFill/>
                  </pic:spPr>
                </pic:pic>
              </a:graphicData>
            </a:graphic>
          </wp:anchor>
        </w:drawing>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Washington, DC 20006-1110</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+1 202 261 3300 Main</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+1 202 261 3333 Fax</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www.dechert.com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Trinity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 1st Street, Suite 302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 85004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acted as counsel to Trinity Capital Inc.,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of a registration statement on Form N-2 (File No. 333-289495), which became immediately effective upon its filing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on August 11, 2025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the final prospectus supplement, dated May 21, 2026 (including the base prospectus filed therewith,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filed with the Commission on May 21, 2026 pursuant to Rule 424 under the Securities Act, relating to the proposed issuance by the Company of $300,000,000 aggregate principal amount of 7.000% Notes due 2031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to be sold to underwriters pursuant to an underwriting agreement, dated as of May 19, 2026, which is substantially in the form filed as Exhibit 1.1 to the Company’s Current Report on Form 8-K filed with the Commission on May 21, 2026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This opinion letter is being furnished to the Company in accordance with the requirements of Item 25 of Form N-2 under the Securities Act, and we express no opinion herein as to any matter other than as to the legality of the Notes.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Notes are to be issued pursuant to the indenture, dated as of January 16, 2020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between the Company and U.S. Bank Trust Company,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is incorporated by reference as an exhibit to the Registration Statement, as supplemented by an eighth supplemental indenture, filed by the Company as Exhibit 4.2 to a Current Report on Form 8-K filed with the Commission on May 21, 2026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color w:val="auto"/>
        </w:rPr>
        <w:t>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62635" cy="6940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62635" cy="6940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the opinions set forth below, including the following documents:</w:t>
      </w:r>
    </w:p>
    <w:p>
      <w:pPr>
        <w:spacing w:after="0" w:line="180" w:lineRule="exact"/>
        <w:rPr>
          <w:sz w:val="20"/>
          <w:szCs w:val="20"/>
          <w:color w:val="auto"/>
        </w:rPr>
      </w:pPr>
    </w:p>
    <w:p>
      <w:pPr>
        <w:ind w:left="1300" w:right="20" w:hanging="644"/>
        <w:spacing w:after="0" w:line="282"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Amendment and Restatement of the Company, certified as of a recent date by the State Department of Assessments and Taxation of the State of Maryland (the “</w:t>
      </w:r>
      <w:r>
        <w:rPr>
          <w:rFonts w:ascii="Times New Roman" w:cs="Times New Roman" w:eastAsia="Times New Roman" w:hAnsi="Times New Roman"/>
          <w:sz w:val="18"/>
          <w:szCs w:val="18"/>
          <w:u w:val="single" w:color="auto"/>
          <w:color w:val="auto"/>
        </w:rPr>
        <w:t>SDAT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Company, certified as of the date of this opinion letter by an officer of the Company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with respect to the Company issued by SDAT as of a recent date;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of the board of directors of the Company, or a duly authorized committee thereof, relating to, among other things, (a) the authorization and approval of the preparation and filing of the Registration Statement, (b) the authorization, execution and delivery of the Indenture and (c) the authorization, issuance and sale of the Notes, certified as of the date hereof by an officer of the Company;</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Agreement;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specimen copy of the Notes to be issued pursuant to the Indenture in the form attached to the Indenture.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to the facts upon which this opinion letter is based, we have relied, to the extent we deem proper, upon certificates of public officials (which we have assumed remain accurate as of the date of this opinion letter) and certificates and written statements of agents, officers, directors and representatives of the Company without having independently verified such factual matters.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authenticity of all documents submitted to us as original documents, the conformity to original documents of all documents submitted to us as copies, the legal capacity of natural persons who are signatories to the documents examined by us, and the legal power and authority of all persons signing on behalf of the parties to such documents (other than the Company). We have further assumed that there has been no oral modification of, or amendment or supplement (including any express or implied waiver, however arising) to, any of the agreements, documents or instruments used by us to form the basis of the opinion expressed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color w:val="auto"/>
        </w:rPr>
        <w:t>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62635" cy="6940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62635" cy="6940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basis of the foregoing and subject to the assumptions, qualifications and limitations set forth in this opinion letter, we are of the opinion that, when the Notes are duly executed and delivered by duly authorized officers of the Company and duly authenticated by the Trustee, all in accordance with the provisions of the Indenture, and delivered to the underwriters against payment therefor in accordance with the terms of the Underwriting Agreement, the Notes will constitute valid and legally binding obligations of the Company, enforceable against the Company in accordance with their terms.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set forth herein are subject to the following assumptions and qualifications being true and correct at or before the issuance of the Notes:</w:t>
      </w:r>
    </w:p>
    <w:p>
      <w:pPr>
        <w:spacing w:after="0" w:line="225"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and the Notes have been duly authorized, executed and delivered by each party thereto (other than the Company);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Notes as established comply with the applicable requirements of the Investment Company Act of 1940, as amended;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have been duly authenticated by the Trustee in accordance with the Indenture and delivered to and paid for by the purchasers thereof.</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opinions set forth herein as to enforceability of obligations of the Company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 (ii) the unenforceability under certain circumstances under law or court decisions of provisions providing for the indemnification of, or contribution to, a party with respect to a liability where such indemnification or contribution is contrary to public policy; (iii) an implied covenant of good faith and fair dealing; (iv) provisions of law which may require that a judgment for money damages rendered by a court in the United States be expressed only in U.S. dollars; (v) requirements that a claim with respect to any debt securities denominated other than in U.S. dollars (or a judgment denominated other than in U.S. dollars in respect of such claim) be converted into U.S. dollars at a rate of exchange prevailing on a date determined pursuant to applicable law; and (iv) governmental authority to limit, delay or prohibit the making of payments outside the United States or in foreign currency or composite currency.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color w:val="auto"/>
        </w:rPr>
        <w:t>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62635" cy="6940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62635" cy="6940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opinions expressed herein are limited to the federal laws of the United States of America, the laws of the State of New York and the Maryland General Corporation Law. We are members of the bar of the State of New York.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opinion letter has been prepared for the Company’s use solely in connection with the Registration Statement. The opinions expressed in this opinion letter (i) are strictly limited to the matters stated in this opinion letter, and without limiting the foregoing, no other opinions are to be implied and (ii) are only as of the date of this opinion letter, and we are under no obligation, and do not undertake, to advise the addressee of this opinion letter or any other person or entity either of any change of law or fact that occurs, or of any fact that comes to our attention, after the date of this opinion letter, even though such change or such fact may affect the legal analysis or a legal conclusion in this opinion letter.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Company’s Current Report on Form 8-K filed with the Commission on May 21, 2026 and to the reference to our firm under the caption “Legal Matters” in the Prospectus and in the Prospectus Supplement. In giving such consent, we do not admit that we are in the category of persons whose consent is required under Section 7 of the Securities Act or the rules and regulations of the Commission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Dechert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Dechert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upperLetter"/>
      <w:start w:val="1"/>
    </w:lvl>
  </w:abstractNum>
  <w:abstractNum w:abstractNumId="2">
    <w:nsid w:val="2901D82"/>
    <w:multiLevelType w:val="hybridMultilevel"/>
    <w:lvl w:ilvl="0">
      <w:lvlJc w:val="left"/>
      <w:lvlText w:val="%1"/>
      <w:numFmt w:val="decimal"/>
      <w:start w:val="104"/>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decimal"/>
      <w:start w:val="2"/>
    </w:lvl>
    <w:lvl w:ilvl="1">
      <w:lvlJc w:val="left"/>
      <w:lvlText w:val="(%2)"/>
      <w:numFmt w:val="lowerLetter"/>
      <w:start w:val="1"/>
    </w:lvl>
  </w:abstractNum>
  <w:abstractNum w:abstractNumId="5">
    <w:nsid w:val="1E7FF521"/>
    <w:multiLevelType w:val="hybridMultilevel"/>
    <w:lvl w:ilvl="0">
      <w:lvlJc w:val="left"/>
      <w:lvlText w:val="%1"/>
      <w:numFmt w:val="decimal"/>
      <w:start w:val="1"/>
    </w:lvl>
    <w:lvl w:ilvl="1">
      <w:lvlJc w:val="left"/>
      <w:lvlText w:val="(%2)"/>
      <w:numFmt w:val="lowerLetter"/>
      <w:start w:val="2"/>
    </w:lvl>
  </w:abstractNum>
  <w:abstractNum w:abstractNumId="6">
    <w:nsid w:val="7C3DBD3D"/>
    <w:multiLevelType w:val="hybridMultilevel"/>
    <w:lvl w:ilvl="0">
      <w:lvlJc w:val="left"/>
      <w:lvlText w:val="%1."/>
      <w:numFmt w:val="decimal"/>
      <w:start w:val="3"/>
    </w:lvl>
    <w:lvl w:ilvl="1">
      <w:lvlJc w:val="left"/>
      <w:lvlText w:val="(%2)"/>
      <w:numFmt w:val="lowerLetter"/>
      <w:start w:val="1"/>
    </w:lvl>
  </w:abstractNum>
  <w:abstractNum w:abstractNumId="7">
    <w:nsid w:val="737B8DDC"/>
    <w:multiLevelType w:val="hybridMultilevel"/>
    <w:lvl w:ilvl="0">
      <w:lvlJc w:val="left"/>
      <w:lvlText w:val="(%1)"/>
      <w:numFmt w:val="lowerLetter"/>
      <w:start w:val="3"/>
    </w:lvl>
  </w:abstractNum>
  <w:abstractNum w:abstractNumId="8">
    <w:nsid w:val="6CEAF087"/>
    <w:multiLevelType w:val="hybridMultilevel"/>
    <w:lvl w:ilvl="0">
      <w:lvlJc w:val="left"/>
      <w:lvlText w:val="(%1)"/>
      <w:numFmt w:val="lowerLetter"/>
      <w:start w:val="8"/>
    </w:lvl>
  </w:abstractNum>
  <w:abstractNum w:abstractNumId="9">
    <w:nsid w:val="22221A70"/>
    <w:multiLevelType w:val="hybridMultilevel"/>
    <w:lvl w:ilvl="0">
      <w:lvlJc w:val="left"/>
      <w:lvlText w:val="(%1)"/>
      <w:numFmt w:val="lowerLetter"/>
      <w:start w:val="13"/>
    </w:lvl>
  </w:abstractNum>
  <w:abstractNum w:abstractNumId="10">
    <w:nsid w:val="4516DDE9"/>
    <w:multiLevelType w:val="hybridMultilevel"/>
    <w:lvl w:ilvl="0">
      <w:lvlJc w:val="left"/>
      <w:lvlText w:val="(%1)"/>
      <w:numFmt w:val="lowerLetter"/>
      <w:start w:val="18"/>
    </w:lvl>
  </w:abstractNum>
  <w:abstractNum w:abstractNumId="11">
    <w:nsid w:val="3006C83E"/>
    <w:multiLevelType w:val="hybridMultilevel"/>
    <w:lvl w:ilvl="0">
      <w:lvlJc w:val="left"/>
      <w:lvlText w:val="(%1)"/>
      <w:numFmt w:val="lowerLetter"/>
      <w:start w:val="23"/>
    </w:lvl>
  </w:abstractNum>
  <w:abstractNum w:abstractNumId="12">
    <w:nsid w:val="614FD4A1"/>
    <w:multiLevelType w:val="hybridMultilevel"/>
    <w:lvl w:ilvl="0">
      <w:lvlJc w:val="left"/>
      <w:lvlText w:val="(%1)"/>
      <w:numFmt w:val="lowerLetter"/>
      <w:start w:val="27"/>
    </w:lvl>
  </w:abstractNum>
  <w:abstractNum w:abstractNumId="13">
    <w:nsid w:val="419AC241"/>
    <w:multiLevelType w:val="hybridMultilevel"/>
    <w:lvl w:ilvl="0">
      <w:lvlJc w:val="left"/>
      <w:lvlText w:val="(%1)"/>
      <w:numFmt w:val="lowerLetter"/>
      <w:start w:val="29"/>
    </w:lvl>
  </w:abstractNum>
  <w:abstractNum w:abstractNumId="14">
    <w:nsid w:val="5577F8E1"/>
    <w:multiLevelType w:val="hybridMultilevel"/>
    <w:lvl w:ilvl="0">
      <w:lvlJc w:val="left"/>
      <w:lvlText w:val="(%1)"/>
      <w:numFmt w:val="lowerLetter"/>
      <w:start w:val="35"/>
    </w:lvl>
  </w:abstractNum>
  <w:abstractNum w:abstractNumId="15">
    <w:nsid w:val="440BADFC"/>
    <w:multiLevelType w:val="hybridMultilevel"/>
    <w:lvl w:ilvl="0">
      <w:lvlJc w:val="left"/>
      <w:lvlText w:val="(%1)"/>
      <w:numFmt w:val="lowerLetter"/>
      <w:start w:val="39"/>
    </w:lvl>
  </w:abstractNum>
  <w:abstractNum w:abstractNumId="16">
    <w:nsid w:val="5072367"/>
    <w:multiLevelType w:val="hybridMultilevel"/>
    <w:lvl w:ilvl="0">
      <w:lvlJc w:val="left"/>
      <w:lvlText w:val="(%1)"/>
      <w:numFmt w:val="lowerLetter"/>
      <w:start w:val="47"/>
    </w:lvl>
  </w:abstractNum>
  <w:abstractNum w:abstractNumId="17">
    <w:nsid w:val="3804823E"/>
    <w:multiLevelType w:val="hybridMultilevel"/>
    <w:lvl w:ilvl="0">
      <w:lvlJc w:val="left"/>
      <w:lvlText w:val="(%1)"/>
      <w:numFmt w:val="lowerLetter"/>
      <w:start w:val="53"/>
    </w:lvl>
  </w:abstractNum>
  <w:abstractNum w:abstractNumId="18">
    <w:nsid w:val="77465F01"/>
    <w:multiLevelType w:val="hybridMultilevel"/>
    <w:lvl w:ilvl="0">
      <w:lvlJc w:val="left"/>
      <w:lvlText w:val="%1"/>
      <w:numFmt w:val="decimal"/>
      <w:start w:val="1"/>
    </w:lvl>
    <w:lvl w:ilvl="1">
      <w:lvlJc w:val="left"/>
      <w:lvlText w:val="(%2)"/>
      <w:numFmt w:val="lowerLetter"/>
      <w:start w:val="55"/>
    </w:lvl>
  </w:abstractNum>
  <w:abstractNum w:abstractNumId="19">
    <w:nsid w:val="7724C67E"/>
    <w:multiLevelType w:val="hybridMultilevel"/>
    <w:lvl w:ilvl="0">
      <w:lvlJc w:val="left"/>
      <w:lvlText w:val="%1."/>
      <w:numFmt w:val="decimal"/>
      <w:start w:val="4"/>
    </w:lvl>
    <w:lvl w:ilvl="1">
      <w:lvlJc w:val="left"/>
      <w:lvlText w:val="(%2)"/>
      <w:numFmt w:val="lowerLetter"/>
      <w:start w:val="1"/>
    </w:lvl>
  </w:abstractNum>
  <w:abstractNum w:abstractNumId="20">
    <w:nsid w:val="5C482A97"/>
    <w:multiLevelType w:val="hybridMultilevel"/>
    <w:lvl w:ilvl="0">
      <w:lvlJc w:val="left"/>
      <w:lvlText w:val="%1"/>
      <w:numFmt w:val="lowerLetter"/>
      <w:start w:val="1"/>
    </w:lvl>
    <w:lvl w:ilvl="1">
      <w:lvlJc w:val="left"/>
      <w:lvlText w:val="(%2)"/>
      <w:numFmt w:val="lowerLetter"/>
      <w:start w:val="2"/>
    </w:lvl>
  </w:abstractNum>
  <w:abstractNum w:abstractNumId="21">
    <w:nsid w:val="2463B9EA"/>
    <w:multiLevelType w:val="hybridMultilevel"/>
    <w:lvl w:ilvl="0">
      <w:lvlJc w:val="left"/>
      <w:lvlText w:val="(%1)"/>
      <w:numFmt w:val="lowerLetter"/>
      <w:start w:val="35"/>
    </w:lvl>
    <w:lvl w:ilvl="1">
      <w:lvlJc w:val="left"/>
      <w:lvlText w:val="(%2)"/>
      <w:numFmt w:val="lowerLetter"/>
      <w:start w:val="5"/>
    </w:lvl>
  </w:abstractNum>
  <w:abstractNum w:abstractNumId="22">
    <w:nsid w:val="5E884ADC"/>
    <w:multiLevelType w:val="hybridMultilevel"/>
    <w:lvl w:ilvl="0">
      <w:lvlJc w:val="left"/>
      <w:lvlText w:val="(%1)"/>
      <w:numFmt w:val="lowerLetter"/>
      <w:start w:val="6"/>
    </w:lvl>
  </w:abstractNum>
  <w:abstractNum w:abstractNumId="23">
    <w:nsid w:val="51EAD36B"/>
    <w:multiLevelType w:val="hybridMultilevel"/>
    <w:lvl w:ilvl="0">
      <w:lvlJc w:val="left"/>
      <w:lvlText w:val="%1"/>
      <w:numFmt w:val="decimal"/>
      <w:start w:val="1"/>
    </w:lvl>
    <w:lvl w:ilvl="1">
      <w:lvlJc w:val="left"/>
      <w:lvlText w:val="(%2)"/>
      <w:numFmt w:val="lowerLetter"/>
      <w:start w:val="16"/>
    </w:lvl>
  </w:abstractNum>
  <w:abstractNum w:abstractNumId="24">
    <w:nsid w:val="2D517796"/>
    <w:multiLevelType w:val="hybridMultilevel"/>
    <w:lvl w:ilvl="0">
      <w:lvlJc w:val="left"/>
      <w:lvlText w:val="%1."/>
      <w:numFmt w:val="decimal"/>
      <w:start w:val="6"/>
    </w:lvl>
    <w:lvl w:ilvl="1">
      <w:lvlJc w:val="left"/>
      <w:lvlText w:val="(%2)"/>
      <w:numFmt w:val="lowerLetter"/>
      <w:start w:val="1"/>
    </w:lvl>
  </w:abstractNum>
  <w:abstractNum w:abstractNumId="25">
    <w:nsid w:val="580BD78F"/>
    <w:multiLevelType w:val="hybridMultilevel"/>
    <w:lvl w:ilvl="0">
      <w:lvlJc w:val="left"/>
      <w:lvlText w:val="%1"/>
      <w:numFmt w:val="lowerLetter"/>
      <w:start w:val="1"/>
    </w:lvl>
    <w:lvl w:ilvl="1">
      <w:lvlJc w:val="left"/>
      <w:lvlText w:val="(%2)"/>
      <w:numFmt w:val="lowerLetter"/>
      <w:start w:val="3"/>
    </w:lvl>
  </w:abstractNum>
  <w:abstractNum w:abstractNumId="26">
    <w:nsid w:val="153EA438"/>
    <w:multiLevelType w:val="hybridMultilevel"/>
    <w:lvl w:ilvl="0">
      <w:lvlJc w:val="left"/>
      <w:lvlText w:val="(%1)"/>
      <w:numFmt w:val="lowerLetter"/>
      <w:start w:val="11"/>
    </w:lvl>
    <w:lvl w:ilvl="1">
      <w:lvlJc w:val="left"/>
      <w:lvlText w:val="%2"/>
      <w:numFmt w:val="lowerLetter"/>
      <w:start w:val="1"/>
    </w:lvl>
  </w:abstractNum>
  <w:abstractNum w:abstractNumId="27">
    <w:nsid w:val="3855585C"/>
    <w:multiLevelType w:val="hybridMultilevel"/>
    <w:lvl w:ilvl="0">
      <w:lvlJc w:val="left"/>
      <w:lvlText w:val="(%1)"/>
      <w:numFmt w:val="lowerLetter"/>
      <w:start w:val="13"/>
    </w:lvl>
  </w:abstractNum>
  <w:abstractNum w:abstractNumId="28">
    <w:nsid w:val="70A64E2A"/>
    <w:multiLevelType w:val="hybridMultilevel"/>
    <w:lvl w:ilvl="0">
      <w:lvlJc w:val="left"/>
      <w:lvlText w:val="%1."/>
      <w:numFmt w:val="decimal"/>
      <w:start w:val="8"/>
    </w:lvl>
    <w:lvl w:ilvl="1">
      <w:lvlJc w:val="left"/>
      <w:lvlText w:val="(%2)"/>
      <w:numFmt w:val="lowerLetter"/>
      <w:start w:val="1"/>
    </w:lvl>
  </w:abstractNum>
  <w:abstractNum w:abstractNumId="29">
    <w:nsid w:val="6A2342EC"/>
    <w:multiLevelType w:val="hybridMultilevel"/>
    <w:lvl w:ilvl="0">
      <w:lvlJc w:val="left"/>
      <w:lvlText w:val="(%1)"/>
      <w:numFmt w:val="lowerLetter"/>
      <w:start w:val="3"/>
    </w:lvl>
  </w:abstractNum>
  <w:abstractNum w:abstractNumId="30">
    <w:nsid w:val="2A487CB0"/>
    <w:multiLevelType w:val="hybridMultilevel"/>
    <w:lvl w:ilvl="0">
      <w:lvlJc w:val="left"/>
      <w:lvlText w:val="%1"/>
      <w:numFmt w:val="decimal"/>
      <w:start w:val="1"/>
    </w:lvl>
    <w:lvl w:ilvl="1">
      <w:lvlJc w:val="left"/>
      <w:lvlText w:val="(%2)"/>
      <w:numFmt w:val="lowerLetter"/>
      <w:start w:val="5"/>
    </w:lvl>
  </w:abstractNum>
  <w:abstractNum w:abstractNumId="31">
    <w:nsid w:val="1D4ED43B"/>
    <w:multiLevelType w:val="hybridMultilevel"/>
    <w:lvl w:ilvl="0">
      <w:lvlJc w:val="left"/>
      <w:lvlText w:val="%1."/>
      <w:numFmt w:val="decimal"/>
      <w:start w:val="9"/>
    </w:lvl>
    <w:lvl w:ilvl="1">
      <w:lvlJc w:val="left"/>
      <w:lvlText w:val="(%2)"/>
      <w:numFmt w:val="lowerLetter"/>
      <w:start w:val="1"/>
    </w:lvl>
  </w:abstractNum>
  <w:abstractNum w:abstractNumId="32">
    <w:nsid w:val="725A06F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3">
    <w:nsid w:val="2CD89A32"/>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34">
    <w:nsid w:val="57E4CCAF"/>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35">
    <w:nsid w:val="7A6D8D3C"/>
    <w:multiLevelType w:val="hybridMultilevel"/>
    <w:lvl w:ilvl="0">
      <w:lvlJc w:val="left"/>
      <w:lvlText w:val="(%1)"/>
      <w:numFmt w:val="lowerLetter"/>
      <w:start w:val="61"/>
    </w:lvl>
    <w:lvl w:ilvl="1">
      <w:lvlJc w:val="left"/>
      <w:lvlText w:val="%2."/>
      <w:numFmt w:val="decimal"/>
      <w:start w:val="13"/>
    </w:lvl>
    <w:lvl w:ilvl="2">
      <w:lvlJc w:val="left"/>
      <w:lvlText w:val="%3"/>
      <w:numFmt w:val="lowerLetter"/>
      <w:start w:val="1"/>
    </w:lvl>
  </w:abstractNum>
  <w:abstractNum w:abstractNumId="36">
    <w:nsid w:val="4B588F54"/>
    <w:multiLevelType w:val="hybridMultilevel"/>
    <w:lvl w:ilvl="0">
      <w:lvlJc w:val="left"/>
      <w:lvlText w:val="%1."/>
      <w:numFmt w:val="decimal"/>
      <w:start w:val="14"/>
    </w:lvl>
    <w:lvl w:ilvl="1">
      <w:lvlJc w:val="left"/>
      <w:lvlText w:val="(%2)"/>
      <w:numFmt w:val="lowerLetter"/>
      <w:start w:val="1"/>
    </w:lvl>
  </w:abstractNum>
  <w:abstractNum w:abstractNumId="37">
    <w:nsid w:val="542289EC"/>
    <w:multiLevelType w:val="hybridMultilevel"/>
    <w:lvl w:ilvl="0">
      <w:lvlJc w:val="left"/>
      <w:lvlText w:val="%1."/>
      <w:numFmt w:val="upperLetter"/>
      <w:start w:val="9"/>
    </w:lvl>
    <w:lvl w:ilvl="1">
      <w:lvlJc w:val="left"/>
      <w:lvlText w:val="(%2)"/>
      <w:numFmt w:val="lowerLetter"/>
      <w:start w:val="2"/>
    </w:lvl>
  </w:abstractNum>
  <w:abstractNum w:abstractNumId="38">
    <w:nsid w:val="6DE91B18"/>
    <w:multiLevelType w:val="hybridMultilevel"/>
    <w:lvl w:ilvl="0">
      <w:lvlJc w:val="left"/>
      <w:lvlText w:val="(%1)"/>
      <w:numFmt w:val="lowerLetter"/>
      <w:start w:val="4"/>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lowerLetter"/>
      <w:start w:val="1"/>
    </w:lvl>
  </w:abstractNum>
  <w:abstractNum w:abstractNumId="42">
    <w:nsid w:val="684A481A"/>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43">
    <w:nsid w:val="579478FE"/>
    <w:multiLevelType w:val="hybridMultilevel"/>
    <w:lvl w:ilvl="0">
      <w:lvlJc w:val="left"/>
      <w:lvlText w:val="%1"/>
      <w:numFmt w:val="lowerRoman"/>
      <w:start w:val="1"/>
    </w:lvl>
    <w:lvl w:ilvl="1">
      <w:lvlJc w:val="left"/>
      <w:lvlText w:val="(%2)"/>
      <w:numFmt w:val="lowerRoman"/>
      <w:start w:val="2"/>
    </w:lvl>
  </w:abstractNum>
  <w:abstractNum w:abstractNumId="44">
    <w:nsid w:val="749ABB43"/>
    <w:multiLevelType w:val="hybridMultilevel"/>
    <w:lvl w:ilvl="0">
      <w:lvlJc w:val="left"/>
      <w:lvlText w:val="(%1)"/>
      <w:numFmt w:val="lowerRoman"/>
      <w:start w:val="1"/>
    </w:lvl>
    <w:lvl w:ilvl="1">
      <w:lvlJc w:val="left"/>
      <w:lvlText w:val="%2"/>
      <w:numFmt w:val="lowerRoman"/>
      <w:start w:val="1"/>
    </w:lvl>
  </w:abstractNum>
  <w:abstractNum w:abstractNumId="45">
    <w:nsid w:val="3DC240FB"/>
    <w:multiLevelType w:val="hybridMultilevel"/>
    <w:lvl w:ilvl="0">
      <w:lvlJc w:val="left"/>
      <w:lvlText w:val="(%1)"/>
      <w:numFmt w:val="lowerLetter"/>
      <w:start w:val="10"/>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lowerRoman"/>
      <w:start w:val="1"/>
    </w:lvl>
  </w:abstractNum>
  <w:abstractNum w:abstractNumId="49">
    <w:nsid w:val="12E685FB"/>
    <w:multiLevelType w:val="hybridMultilevel"/>
    <w:lvl w:ilvl="0">
      <w:lvlJc w:val="left"/>
      <w:lvlText w:val="(%1)"/>
      <w:numFmt w:val="upperLetter"/>
      <w:start w:val="9"/>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1)"/>
      <w:numFmt w:val="lowerRoman"/>
      <w:start w:val="1"/>
    </w:lvl>
  </w:abstractNum>
  <w:abstractNum w:abstractNumId="54">
    <w:nsid w:val="23F9C13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jpe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jpeg"/><Relationship Id="rId93" Type="http://schemas.openxmlformats.org/officeDocument/2006/relationships/image" Target="media/image85.png"/><Relationship Id="rId14" Type="http://schemas.openxmlformats.org/officeDocument/2006/relationships/hyperlink" Target="https://www.sec.gov/Archives/edgar/data/1786108/000110465920004792/tv534325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2026-05-21T15:46:28Z</dcterms:created>
  <dcterms:modified xsi:type="dcterms:W3CDTF">2026-05-21T15:46:28Z</dcterms:modified>
</cp:coreProperties>
</file>