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Kundich Ronald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TRINITY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1ST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Trinity Capital Inc.</w:t>
              </w:r>
            </w:hyperlink>
            <w:r>
              <w:rPr/>
              <w:t xml:space="preserve"> [ </w:t>
            </w:r>
            <w:r>
              <w:rPr>
                <w:rFonts w:ascii="Times;serif" w:hAnsi="Times;serif"/>
                <w:color w:val="0000FF"/>
                <w:sz w:val="24"/>
                <w:shd w:fill="FFFFFF" w:val="clear"/>
              </w:rPr>
              <w:t>TRIN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Credit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230,325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to satisfy the reporting person's tax obligations in connection with vesting of restricted shares on September 15, 2026. Transaction exempt from Section 16(b) pursuant to Rule 16b3.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Sarah Stanton is signing on behalf of Mr. Kundich pursuant to the power of attorney dated September 17, 2021, which was previously filed with the Securities and Exchange Commission as an exhibit to the Form 4 Mr. Kundich filed on September 17, 2021.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Stanton, on behalf of Ronald Kundich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095" TargetMode="External"/><Relationship Id="rId5" Type="http://schemas.openxmlformats.org/officeDocument/2006/relationships/hyperlink" Target="http://www.sec.gov/cgi-bin/browse-edgar?action=getcompany&amp;CIK=0001786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3486</Characters>
  <CharactersWithSpaces>4062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