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7219-01_497ad.htm"/>
      <w:bookmarkStart w:id="1" w:name="ksea030721901_497ad"/>
      <w:bookmarkEnd w:id="0"/>
      <w:bookmarkEnd w:id="1"/>
      <w:r>
        <w:rPr/>
        <w:t> </w:t>
      </w:r>
    </w:p>
    <w:p>
      <w:pPr>
        <w:pStyle w:val="TextBody"/>
        <w:bidi w:val="0"/>
        <w:spacing w:before="0" w:after="0"/>
        <w:ind w:left="0" w:right="0" w:firstLine="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497(a)</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333-289495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482ad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OF COMMUNICATION SENT VIA BLOOMBERG]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shd w:fill="FFFFFF" w:val="clear"/>
        <w:tblLayout w:type="fixed"/>
        <w:tblCellMar>
          <w:top w:w="28" w:type="dxa"/>
          <w:left w:w="28" w:type="dxa"/>
          <w:bottom w:w="0" w:type="dxa"/>
          <w:right w:w="0" w:type="dxa"/>
        </w:tblCellMar>
      </w:tblPr>
      <w:tblGrid>
        <w:gridCol w:w="2701"/>
        <w:gridCol w:w="7504"/>
      </w:tblGrid>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Issuer/Ticker</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Trinity Capital Inc. ( TRIN )</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Ratings*</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Moody's: Baa3/Stable</w:t>
              <w:br/>
              <w:t>DBRS: BBBL/Positive</w:t>
              <w:br/>
              <w:t>Egan-Jones: BBB/Stable</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Format</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SEC Registered</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Ranking</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Sr Unsecured Note</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Total Size</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$300 million</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Tenor</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Long 5-year</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Coupon Type</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Fixed</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IPT</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T+287.5bps area</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Maturity Date</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January 15, 2032</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Settlement</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T+3 (October 5, 2026)</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Optional Redemption</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jc w:val="left"/>
              <w:rPr>
                <w:sz w:val="20"/>
              </w:rPr>
            </w:pPr>
            <w:r>
              <w:rPr>
                <w:sz w:val="20"/>
              </w:rPr>
              <w:t>Make Whole Call</w:t>
            </w:r>
          </w:p>
          <w:p>
            <w:pPr>
              <w:pStyle w:val="TableContents"/>
              <w:bidi w:val="0"/>
              <w:spacing w:before="0" w:after="283"/>
              <w:jc w:val="left"/>
              <w:rPr>
                <w:sz w:val="20"/>
              </w:rPr>
            </w:pPr>
            <w:r>
              <w:rPr>
                <w:sz w:val="20"/>
              </w:rPr>
              <w:t>Par Call: 1 month prior to maturity</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Use of Proceeds</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To pay down a portion of existing indebtedness outstanding under the KeyBank Credit Facility and general corporate purposes</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Denominations</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2,000 x 1,000</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Sale into Canada</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Yes - exemption</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Timing</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Today’s business</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Virtual Roadshow Investor Login Details</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 xml:space="preserve">URL: www.netroadshow.com </w:t>
              <w:br/>
              <w:t>Entry Code: TRIN2026</w:t>
              <w:br/>
              <w:t xml:space="preserve">Direct Link: www.netroadshow.com/nrs/home/#!/?show=468b7840 </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Active Bookrunning Managers</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KBW (B&amp;D), MUFG</w:t>
            </w:r>
          </w:p>
        </w:tc>
      </w:tr>
      <w:tr>
        <w:trPr/>
        <w:tc>
          <w:tcPr>
            <w:tcW w:w="2701" w:type="dxa"/>
            <w:tcBorders>
              <w:top w:val="single" w:sz="8" w:space="0" w:color="000000"/>
              <w:left w:val="single" w:sz="8" w:space="0" w:color="000000"/>
            </w:tcBorders>
            <w:shd w:fill="FFFFFF" w:val="clear"/>
            <w:vAlign w:val="center"/>
          </w:tcPr>
          <w:p>
            <w:pPr>
              <w:pStyle w:val="TableContents"/>
              <w:bidi w:val="0"/>
              <w:spacing w:before="0" w:after="283"/>
              <w:jc w:val="left"/>
              <w:rPr>
                <w:sz w:val="20"/>
              </w:rPr>
            </w:pPr>
            <w:r>
              <w:rPr>
                <w:sz w:val="20"/>
              </w:rPr>
              <w:t>CUSIP</w:t>
            </w:r>
          </w:p>
        </w:tc>
        <w:tc>
          <w:tcPr>
            <w:tcW w:w="7504"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sz w:val="20"/>
              </w:rPr>
            </w:pPr>
            <w:r>
              <w:rPr>
                <w:sz w:val="20"/>
              </w:rPr>
              <w:t>896442AM2</w:t>
            </w:r>
          </w:p>
        </w:tc>
      </w:tr>
      <w:tr>
        <w:trPr/>
        <w:tc>
          <w:tcPr>
            <w:tcW w:w="2701"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ISIN</w:t>
            </w:r>
          </w:p>
        </w:tc>
        <w:tc>
          <w:tcPr>
            <w:tcW w:w="7504" w:type="dxa"/>
            <w:tcBorders>
              <w:top w:val="single" w:sz="8" w:space="0" w:color="000000"/>
              <w:left w:val="single" w:sz="8" w:space="0" w:color="000000"/>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sz w:val="20"/>
              </w:rPr>
            </w:pPr>
            <w:r>
              <w:rPr>
                <w:sz w:val="20"/>
              </w:rPr>
              <w:t>US896442AM27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 explanation of the significance of ratings may be obtained from the rating agency. Generally, rating agencies base their ratings on such material and information, and such of their own investigations, studies and assumptions, as they deem appropriate. The rating of the subordinated notes should be evaluated independently from similar ratings of other securities. A credit rating of a security is not a recommendation to buy, sell or hold securities and may be subject to review, revision, suspension, reduction or withdrawal at any time by the assigning rating agency. No report of any rating agency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advised to carefully consider the investment objective, risks, charges and expenses of Trinity Capital Inc. before investing. Trinity Capital Inc. has filed a shelf registration statement (including a prospectus) and a preliminary prospectus supplement with the SEC for the offering to which this communication relates and which contain such information and other information about Trinity Capital Inc. Before you invest, you should read carefully the prospectus in that registration statement, the preliminary prospectus supplement and other documents the issuer has filed with the SEC for more complete information about the issuer and this offering. The information in the preliminary prospectus supplement and the accompanying prospectus, and in this announcement, is not complete and may be changed. This communication shall not constitute an offer to sell or the solicitation of an offer to buy the securities nor shall there be any sale of these securities in any jurisdiction in which such offer, solicitation or sale would be unlawful. A shelf registration statement (relating to these securities) is on file with the SEC and has become effective. The offering may be made only by means of a preliminary prospectus supplement for this offering and an accompanying prospectus. You may obtain these documents for free by visiting EDGAR on the SEC Web site at www.sec.gov. Alternatively, the issuer, any underwriter or any dealer participating in the offering will arrange to send you a copy of the prospectus and the prospectus supplement if you request them by calling Keefe, Bruyette &amp; Woods, A Stifel Company at 1-800-966-1559 or MUFG Securities Americas Inc. at (877) 649-6848.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documents transmitted by e-mail may be altered or changed during the process of transmission and none of the Company nor Keefe, Bruyette &amp; Woods, A Stifel Company nor any of their respective affiliates accepts liability or responsibility for any alteration or change. 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580</Words>
  <Characters>3271</Characters>
  <CharactersWithSpaces>3815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