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0" w:name="ea0306752-01_424b2.htm"/>
      <w:bookmarkStart w:id="1" w:name="ksea030675201_424b2"/>
      <w:bookmarkEnd w:id="0"/>
      <w:bookmarkEnd w:id="1"/>
      <w:r>
        <w:rPr>
          <w:rFonts w:ascii="Times New Roman PS Std;serif" w:hAnsi="Times New Roman PS Std;serif"/>
          <w:b/>
          <w:i w:val="false"/>
          <w:caps w:val="false"/>
          <w:smallCaps w:val="false"/>
          <w:sz w:val="20"/>
        </w:rPr>
        <w:t>Filed Pursuant to Rule 424(b)(2)</w:t>
        <w:br/>
        <w:t>Registration No. 333-289495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in this preliminary prospectus supplement is not complete and may be changed. This preliminary prospectus supplement is not an offer to sell these securities and it is not soliciting an offer to buy these securities in any jurisdiction where the offer or sale is not permitted.</w:t>
      </w:r>
    </w:p>
    <w:p>
      <w:pPr>
        <w:pStyle w:val="TextBody"/>
        <w:keepNext w:val="true"/>
        <w:pageBreakBefore w:val="false"/>
        <w:widowControl/>
        <w:pBdr/>
        <w:bidi w:val="0"/>
        <w:spacing w:before="240" w:after="283"/>
        <w:jc w:val="center"/>
        <w:rPr>
          <w:rFonts w:ascii="Times New Roman PS Std;serif" w:hAnsi="Times New Roman PS Std;serif"/>
          <w:b/>
          <w:i w:val="false"/>
          <w:caps/>
          <w:color w:val="D2232A"/>
          <w:sz w:val="20"/>
        </w:rPr>
      </w:pPr>
      <w:r>
        <w:rPr>
          <w:rFonts w:ascii="Times New Roman PS Std;serif" w:hAnsi="Times New Roman PS Std;serif"/>
          <w:b/>
          <w:i w:val="false"/>
          <w:caps/>
          <w:color w:val="D2232A"/>
          <w:sz w:val="20"/>
        </w:rPr>
        <w:t>SUBJECT TO COMPLETION, DATED September 30,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PRELIMINARY PROSPECTUS SUPPLEMENT</w:t>
      </w:r>
    </w:p>
    <w:p>
      <w:pPr>
        <w:pStyle w:val="TextBody"/>
        <w:keepNext w:val="false"/>
        <w:pageBreakBefore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Prospectus dated August 11, 2025)</w:t>
      </w:r>
    </w:p>
    <w:p>
      <w:pPr>
        <w:pStyle w:val="TextBody"/>
        <w:keepNext w:val="true"/>
        <w:pageBreakBefore w:val="false"/>
        <w:widowControl/>
        <w:pBdr/>
        <w:bidi w:val="0"/>
        <w:spacing w:before="0" w:after="283"/>
        <w:jc w:val="center"/>
        <w:rPr>
          <w:caps w:val="false"/>
          <w:smallCaps w:val="false"/>
        </w:rPr>
      </w:pPr>
      <w:r>
        <w:rPr>
          <w:caps w:val="false"/>
          <w:smallCaps w:val="false"/>
        </w:rPr>
        <w:t>    </w:t>
      </w:r>
      <w:r>
        <w:rPr>
          <w:rFonts w:ascii="Times New Roman PS Std;serif" w:hAnsi="Times New Roman PS Std;serif"/>
          <w:b/>
          <w:i w:val="false"/>
          <w:caps w:val="false"/>
          <w:smallCaps w:val="false"/>
          <w:sz w:val="24"/>
        </w:rPr>
        <w:t>$    </w:t>
      </w:r>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3248025" cy="7981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48025" cy="798195"/>
                    </a:xfrm>
                    <a:prstGeom prst="rect">
                      <a:avLst/>
                    </a:prstGeom>
                  </pic:spPr>
                </pic:pic>
              </a:graphicData>
            </a:graphic>
          </wp:inline>
        </w:drawing>
      </w:r>
    </w:p>
    <w:p>
      <w:pPr>
        <w:pStyle w:val="TextBody"/>
        <w:keepNext w:val="true"/>
        <w:pageBreakBefore w:val="false"/>
        <w:widowControl/>
        <w:pBdr/>
        <w:bidi w:val="0"/>
        <w:spacing w:before="12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TRINITY CAPITAL INC.</w:t>
      </w:r>
    </w:p>
    <w:p>
      <w:pPr>
        <w:pStyle w:val="TextBody"/>
        <w:keepNext w:val="true"/>
        <w:pageBreakBefore w:val="false"/>
        <w:widowControl/>
        <w:pBdr/>
        <w:bidi w:val="0"/>
        <w:spacing w:before="240" w:after="283"/>
        <w:jc w:val="center"/>
        <w:rPr>
          <w:caps w:val="false"/>
          <w:smallCaps w:val="false"/>
        </w:rPr>
      </w:pPr>
      <w:r>
        <w:rPr>
          <w:caps w:val="false"/>
          <w:smallCaps w:val="false"/>
        </w:rPr>
        <w:t>            </w:t>
      </w:r>
      <w:r>
        <w:rPr>
          <w:rFonts w:ascii="Times New Roman PS Std;serif" w:hAnsi="Times New Roman PS Std;serif"/>
          <w:b/>
          <w:i w:val="false"/>
          <w:caps w:val="false"/>
          <w:smallCaps w:val="false"/>
          <w:sz w:val="24"/>
        </w:rPr>
        <w:t>% Notes due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offering $ in aggregate principal amount of            % notes due            , which we refer to as the Notes. The Notes will mature on            ,      . We will pay interest on the Notes on            and            of each year, beginning            , 20            . We may redeem the Notes in whole or in part at any time or from time to time at the redemption price discussed under the caption “</w:t>
      </w:r>
      <w:r>
        <w:rPr>
          <w:rFonts w:ascii="Times New Roman PS Std;serif" w:hAnsi="Times New Roman PS Std;serif"/>
          <w:b w:val="false"/>
          <w:i/>
          <w:caps w:val="false"/>
          <w:smallCaps w:val="false"/>
          <w:sz w:val="20"/>
        </w:rPr>
        <w:t>Description of the Notes — Optional Redemption</w:t>
      </w:r>
      <w:r>
        <w:rPr>
          <w:rFonts w:ascii="Times New Roman PS Std;serif" w:hAnsi="Times New Roman PS Std;serif"/>
          <w:b w:val="false"/>
          <w:i w:val="false"/>
          <w:caps w:val="false"/>
          <w:smallCaps w:val="false"/>
          <w:sz w:val="20"/>
        </w:rPr>
        <w:t>” in this prospectus supplement. In addition, holders of the Notes can require us to repurchase the Notes at 100% of their principal amount upon the occurrence of a Change of Control Repurchase Event (as defined herein). The Notes will be issued in minimum denominations of $2,000 and integral multiples of $1,000 in excess thereof.</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Notes will be our direct unsecured obligations and rank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or equal in right of payment, with all outstanding and future unsecured unsubordinated indebtedness issued by us.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specialty lending company that provides debt, including loans, equipment financings and asset-based lending, to growth-oriented companies, including institutional investor-backed companies. We define “growth-oriented companies” as companies that have significant ownership and active participation by sponsors, such as institutional investors or private equity firms, and expected annual revenues of up to $100 million.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internally managed, closed-end, non-diversified management investment company that has elected to be regulated as a business development company (“BDC”) under the Investment Company Act of 1940, as amended (the “1940 Act”). We have elected to be treated, and intend to qualify annually as a regulated investment company (“RIC”) under Subchapter M of the Internal Revenue Code of 1986, as amended (the “Code”), for U.S. federal income tax purposes. As a BDC and a RIC, we are required to comply with certain regulatory requirements.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objective is to generate current income and, to a lesser extent, capital appreciation through our investments across five distinct vertical markets. We seek to achieve our investment objective by making investments consisting primarily of term loans, equipment financings, and asset based lending and, to a lesser extent, working capital loans, equity and equity-related investments. In addition, we may obtain warrants or contingent exit fees at funding from many of our portfolio companies, providing an additional potential source of investment returns.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target investments in growth-oriented companies, which are typically private companies, including institutional investor-backed companies. Our loans and equipment financings generally range from $5 million to $50 million. Subject to the requirements of the 1940 Act, we are not limited to investing in any particular industry or geographic area and seek to invest in under-financed segments of the private credit markets. The debt in which we invest typically is not rated by any rating agency, but if these instruments were rated, they would likely receive a rating of below investment grade (that is, below BBB- or Baa3), which is often referred to as “high yield” or “junk.”</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the Notes involves risks, including the risk of leverage, that are described in “</w:t>
      </w:r>
      <w:r>
        <w:rPr>
          <w:rFonts w:ascii="Times New Roman PS Std;serif" w:hAnsi="Times New Roman PS Std;serif"/>
          <w:b/>
          <w:i/>
          <w:caps w:val="false"/>
          <w:smallCaps w:val="false"/>
          <w:sz w:val="20"/>
        </w:rPr>
        <w:t>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beginning on page S-10</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 this prospectus supplement, page 6 of the accompanying prospectus and in our most recent Annual Report on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our subsequent Quarterly Reports on Form 10-Q, as well as any of our subsequent filings with the U.S. Securities and Exchange Commission (“SEC”).</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prospectus supplement, the accompanying prospectus, any related free writing prospectus and the documents incorporated by reference herein and therein contain important information you should know before investing in the Notes. Please read this prospectus supplement, the accompanying prospectus, any related free writing prospectus and the documents incorporated by reference herein and therein before investing and keep it for future reference. We also file periodic and current reports, proxy statements and other information about us with the SEC. This information is available free of charge by contacting us at 1 N. 1st Street, Suite 302, Phoenix, Arizona 85004, calling us at (480) 374-5350 or visiting our corporate website located at </w:t>
      </w:r>
      <w:r>
        <w:rPr>
          <w:rFonts w:ascii="Times New Roman PS Std;serif" w:hAnsi="Times New Roman PS Std;serif"/>
          <w:b w:val="false"/>
          <w:i/>
          <w:caps w:val="false"/>
          <w:smallCaps w:val="false"/>
          <w:sz w:val="20"/>
        </w:rPr>
        <w:t>www.trinitycapital.com.</w:t>
      </w:r>
      <w:r>
        <w:rPr>
          <w:rFonts w:ascii="Times New Roman PS Std;serif" w:hAnsi="Times New Roman PS Std;serif"/>
          <w:b w:val="false"/>
          <w:i w:val="false"/>
          <w:caps w:val="false"/>
          <w:smallCaps w:val="false"/>
          <w:sz w:val="20"/>
        </w:rPr>
        <w:t xml:space="preserve"> Information on our website is not incorporated into or a part of this prospectus supplement, the accompanying prospectus or any related free writing prospectus. The SEC also maintains a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that contains this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NOTES ARE NOT DEPOSITS OR OTHER OBLIGATIONS OF A BANK AND ARE NOT INSURED BY THE FEDERAL DEPOSIT INSURANCE CORPORATION OR ANY OTHER GOVERNMENT AGENCY.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 nor any state securities commission has approved or disapproved of these securities or determined if this prospectus supplement is truthful or complete. Any representation to the contrary is a criminal offense.</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w:t>
      </w:r>
    </w:p>
    <w:tbl>
      <w:tblPr>
        <w:tblW w:w="6685" w:type="dxa"/>
        <w:jc w:val="left"/>
        <w:tblInd w:w="0" w:type="dxa"/>
        <w:tblLayout w:type="fixed"/>
        <w:tblCellMar>
          <w:top w:w="0" w:type="dxa"/>
          <w:left w:w="0" w:type="dxa"/>
          <w:bottom w:w="0" w:type="dxa"/>
          <w:right w:w="0" w:type="dxa"/>
        </w:tblCellMar>
      </w:tblPr>
      <w:tblGrid>
        <w:gridCol w:w="4621"/>
        <w:gridCol w:w="146"/>
        <w:gridCol w:w="1051"/>
        <w:gridCol w:w="146"/>
        <w:gridCol w:w="432"/>
        <w:gridCol w:w="289"/>
      </w:tblGrid>
      <w:tr>
        <w:trPr/>
        <w:tc>
          <w:tcPr>
            <w:tcW w:w="46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Note</w:t>
            </w:r>
          </w:p>
        </w:tc>
        <w:tc>
          <w:tcPr>
            <w:tcW w:w="146" w:type="dxa"/>
            <w:tcBorders/>
            <w:vAlign w:val="bottom"/>
          </w:tcPr>
          <w:p>
            <w:pPr>
              <w:pStyle w:val="TableContents"/>
              <w:bidi w:val="0"/>
              <w:spacing w:before="0" w:after="283"/>
              <w:jc w:val="left"/>
              <w:rPr/>
            </w:pPr>
            <w:r>
              <w:rPr/>
              <w:t> </w:t>
            </w:r>
          </w:p>
        </w:tc>
        <w:tc>
          <w:tcPr>
            <w:tcW w:w="7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offering price(1)</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9" w:type="dxa"/>
            <w:tcBorders/>
            <w:shd w:fill="CCEEFF" w:val="clear"/>
            <w:vAlign w:val="bottom"/>
          </w:tcPr>
          <w:p>
            <w:pPr>
              <w:pStyle w:val="TableContents"/>
              <w:bidi w:val="0"/>
              <w:spacing w:before="0" w:after="283"/>
              <w:jc w:val="left"/>
              <w:rPr/>
            </w:pPr>
            <w:r>
              <w:rPr/>
              <w:t> </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load (underwriting discounts) paid by us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9" w:type="dxa"/>
            <w:tcBorders/>
            <w:vAlign w:val="bottom"/>
          </w:tcPr>
          <w:p>
            <w:pPr>
              <w:pStyle w:val="TableContents"/>
              <w:bidi w:val="0"/>
              <w:spacing w:before="0" w:after="283"/>
              <w:jc w:val="left"/>
              <w:rPr/>
            </w:pPr>
            <w:r>
              <w:rPr/>
              <w:t> </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to us, before estimated expenses(2)</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9" w:type="dxa"/>
            <w:tcBorders/>
            <w:shd w:fill="CCEEFF" w:val="clear"/>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public offering price set forth above does not include accrued interest, if any. Interest on the Notes will accrue from            , 2026 and must be paid by the purchaser if the Notes are delivered after            ,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We estimate that we will incur offering expenses of approximately $            . For more information, see “Underwriting” in this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Delivery of the Notes in book-entry form only through The Depository Trust Company for the accounts of its participants, including Euroclear Bank S.A./N.V., as operator of the Euroclear System, and Clearstream Banking S.A., will be made on or about            , 2026.</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w:t>
      </w:r>
    </w:p>
    <w:tbl>
      <w:tblPr>
        <w:tblW w:w="9740" w:type="dxa"/>
        <w:jc w:val="left"/>
        <w:tblInd w:w="0" w:type="dxa"/>
        <w:tblLayout w:type="fixed"/>
        <w:tblCellMar>
          <w:top w:w="0" w:type="dxa"/>
          <w:left w:w="0" w:type="dxa"/>
          <w:bottom w:w="0" w:type="dxa"/>
          <w:right w:w="0" w:type="dxa"/>
        </w:tblCellMar>
      </w:tblPr>
      <w:tblGrid>
        <w:gridCol w:w="4201"/>
        <w:gridCol w:w="146"/>
        <w:gridCol w:w="146"/>
        <w:gridCol w:w="146"/>
        <w:gridCol w:w="5101"/>
      </w:tblGrid>
      <w:tr>
        <w:trPr/>
        <w:tc>
          <w:tcPr>
            <w:tcW w:w="9740" w:type="dxa"/>
            <w:gridSpan w:val="5"/>
            <w:tcBorders/>
          </w:tcPr>
          <w:p>
            <w:pPr>
              <w:pStyle w:val="TableContents"/>
              <w:keepNext w:val="true"/>
              <w:widowControl/>
              <w:pBdr/>
              <w:bidi w:val="0"/>
              <w:spacing w:before="2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Joint Book-Running Managers</w:t>
            </w:r>
          </w:p>
        </w:tc>
      </w:tr>
      <w:tr>
        <w:trPr/>
        <w:tc>
          <w:tcPr>
            <w:tcW w:w="4201" w:type="dxa"/>
            <w:tcBorders/>
          </w:tcPr>
          <w:p>
            <w:pPr>
              <w:pStyle w:val="TableContents"/>
              <w:keepNext w:val="false"/>
              <w:widowControl/>
              <w:pBdr/>
              <w:bidi w:val="0"/>
              <w:spacing w:before="160" w:after="283"/>
              <w:ind w:left="340" w:right="0" w:hanging="200"/>
              <w:jc w:val="righ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8"/>
              </w:rPr>
              <w:t>Keefe, Bruyette &amp; Woods</w:t>
              <w:br/>
            </w:r>
            <w:r>
              <w:rPr>
                <w:rFonts w:ascii="Times New Roman PS Std;serif" w:hAnsi="Times New Roman PS Std;serif"/>
                <w:b w:val="false"/>
                <w:i/>
                <w:caps w:val="false"/>
                <w:smallCaps w:val="false"/>
                <w:sz w:val="28"/>
              </w:rPr>
              <w:t>A Stifel Company</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101" w:type="dxa"/>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MUFG Securities Americas Inc.</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date of this prospectus supplement is September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 Supplement</w:t>
      </w:r>
    </w:p>
    <w:tbl>
      <w:tblPr>
        <w:tblW w:w="7078" w:type="dxa"/>
        <w:jc w:val="left"/>
        <w:tblInd w:w="0" w:type="dxa"/>
        <w:tblLayout w:type="fixed"/>
        <w:tblCellMar>
          <w:top w:w="0" w:type="dxa"/>
          <w:left w:w="0" w:type="dxa"/>
          <w:bottom w:w="0" w:type="dxa"/>
          <w:right w:w="0" w:type="dxa"/>
        </w:tblCellMar>
      </w:tblPr>
      <w:tblGrid>
        <w:gridCol w:w="6211"/>
        <w:gridCol w:w="146"/>
        <w:gridCol w:w="721"/>
      </w:tblGrid>
      <w:tr>
        <w:trPr/>
        <w:tc>
          <w:tcPr>
            <w:tcW w:w="62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6211" w:type="dxa"/>
            <w:tcBorders/>
            <w:shd w:fill="CCEEFF" w:val="clear"/>
            <w:vAlign w:val="bottom"/>
          </w:tcPr>
          <w:p>
            <w:pPr>
              <w:pStyle w:val="TableContents"/>
              <w:keepNext w:val="false"/>
              <w:widowControl/>
              <w:pBdr/>
              <w:bidi w:val="0"/>
              <w:spacing w:before="0" w:after="283"/>
              <w:ind w:left="200" w:right="0" w:hanging="200"/>
              <w:jc w:val="left"/>
              <w:rPr/>
            </w:pPr>
            <w:hyperlink w:anchor="T600">
              <w:r>
                <w:rPr>
                  <w:rStyle w:val="InternetLink"/>
                  <w:rFonts w:ascii="Times New Roman PS Std;serif" w:hAnsi="Times New Roman PS Std;serif"/>
                  <w:b w:val="false"/>
                  <w:i w:val="false"/>
                  <w:caps w:val="false"/>
                  <w:smallCaps w:val="false"/>
                  <w:sz w:val="20"/>
                </w:rPr>
                <w:t xml:space="preserve">ABOUT THIS PROSPECTUS SUPPLEMENT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S-iii</w:t>
            </w:r>
          </w:p>
        </w:tc>
      </w:tr>
      <w:tr>
        <w:trPr/>
        <w:tc>
          <w:tcPr>
            <w:tcW w:w="6211" w:type="dxa"/>
            <w:tcBorders/>
            <w:vAlign w:val="bottom"/>
          </w:tcPr>
          <w:p>
            <w:pPr>
              <w:pStyle w:val="TableContents"/>
              <w:keepNext w:val="false"/>
              <w:widowControl/>
              <w:pBdr/>
              <w:bidi w:val="0"/>
              <w:spacing w:before="0" w:after="283"/>
              <w:ind w:left="200" w:right="0" w:hanging="200"/>
              <w:jc w:val="left"/>
              <w:rPr/>
            </w:pPr>
            <w:hyperlink w:anchor="T601">
              <w:r>
                <w:rPr>
                  <w:rStyle w:val="InternetLink"/>
                  <w:rFonts w:ascii="Times New Roman PS Std;serif" w:hAnsi="Times New Roman PS Std;serif"/>
                  <w:b w:val="false"/>
                  <w:i w:val="false"/>
                  <w:caps w:val="false"/>
                  <w:smallCaps w:val="false"/>
                  <w:sz w:val="20"/>
                </w:rPr>
                <w:t xml:space="preserve">PROSPECTUS SUPPLEMENT SUMMARY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w:t>
            </w:r>
          </w:p>
        </w:tc>
      </w:tr>
      <w:tr>
        <w:trPr/>
        <w:tc>
          <w:tcPr>
            <w:tcW w:w="6211" w:type="dxa"/>
            <w:tcBorders/>
            <w:shd w:fill="CCEEFF" w:val="clear"/>
            <w:vAlign w:val="bottom"/>
          </w:tcPr>
          <w:p>
            <w:pPr>
              <w:pStyle w:val="TableContents"/>
              <w:keepNext w:val="false"/>
              <w:widowControl/>
              <w:pBdr/>
              <w:bidi w:val="0"/>
              <w:spacing w:before="0" w:after="283"/>
              <w:ind w:left="200" w:right="0" w:hanging="200"/>
              <w:jc w:val="left"/>
              <w:rPr/>
            </w:pPr>
            <w:hyperlink w:anchor="T602">
              <w:r>
                <w:rPr>
                  <w:rStyle w:val="InternetLink"/>
                  <w:rFonts w:ascii="Times New Roman PS Std;serif" w:hAnsi="Times New Roman PS Std;serif"/>
                  <w:b w:val="false"/>
                  <w:i w:val="false"/>
                  <w:caps w:val="false"/>
                  <w:smallCaps w:val="false"/>
                  <w:sz w:val="20"/>
                </w:rPr>
                <w:t xml:space="preserve">SPECIFIC TERMS OF THE NOTES AND THE OFFERING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S-6</w:t>
            </w:r>
          </w:p>
        </w:tc>
      </w:tr>
      <w:tr>
        <w:trPr/>
        <w:tc>
          <w:tcPr>
            <w:tcW w:w="6211" w:type="dxa"/>
            <w:tcBorders/>
            <w:vAlign w:val="bottom"/>
          </w:tcPr>
          <w:p>
            <w:pPr>
              <w:pStyle w:val="TableContents"/>
              <w:keepNext w:val="false"/>
              <w:widowControl/>
              <w:pBdr/>
              <w:bidi w:val="0"/>
              <w:spacing w:before="0" w:after="283"/>
              <w:ind w:left="200" w:right="0" w:hanging="200"/>
              <w:jc w:val="left"/>
              <w:rPr/>
            </w:pPr>
            <w:hyperlink w:anchor="T603">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S-10</w:t>
            </w:r>
          </w:p>
        </w:tc>
      </w:tr>
      <w:tr>
        <w:trPr/>
        <w:tc>
          <w:tcPr>
            <w:tcW w:w="6211" w:type="dxa"/>
            <w:tcBorders/>
            <w:shd w:fill="CCEEFF" w:val="clear"/>
            <w:vAlign w:val="bottom"/>
          </w:tcPr>
          <w:p>
            <w:pPr>
              <w:pStyle w:val="TableContents"/>
              <w:keepNext w:val="false"/>
              <w:widowControl/>
              <w:pBdr/>
              <w:bidi w:val="0"/>
              <w:spacing w:before="0" w:after="283"/>
              <w:ind w:left="200" w:right="0" w:hanging="200"/>
              <w:jc w:val="left"/>
              <w:rPr/>
            </w:pPr>
            <w:hyperlink w:anchor="T604">
              <w:r>
                <w:rPr>
                  <w:rStyle w:val="InternetLink"/>
                  <w:rFonts w:ascii="Times New Roman PS Std;serif" w:hAnsi="Times New Roman PS Std;serif"/>
                  <w:b w:val="false"/>
                  <w:i w:val="false"/>
                  <w:caps w:val="false"/>
                  <w:smallCaps w:val="false"/>
                  <w:sz w:val="20"/>
                </w:rPr>
                <w:t xml:space="preserve">SPECIAL NOTE REGARDING FORWARD-LOOKING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S-15</w:t>
            </w:r>
          </w:p>
        </w:tc>
      </w:tr>
      <w:tr>
        <w:trPr/>
        <w:tc>
          <w:tcPr>
            <w:tcW w:w="6211" w:type="dxa"/>
            <w:tcBorders/>
            <w:vAlign w:val="bottom"/>
          </w:tcPr>
          <w:p>
            <w:pPr>
              <w:pStyle w:val="TableContents"/>
              <w:keepNext w:val="false"/>
              <w:widowControl/>
              <w:pBdr/>
              <w:bidi w:val="0"/>
              <w:spacing w:before="0" w:after="283"/>
              <w:ind w:left="200" w:right="0" w:hanging="200"/>
              <w:jc w:val="left"/>
              <w:rPr/>
            </w:pPr>
            <w:hyperlink w:anchor="T605">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S-17</w:t>
            </w:r>
          </w:p>
        </w:tc>
      </w:tr>
      <w:tr>
        <w:trPr/>
        <w:tc>
          <w:tcPr>
            <w:tcW w:w="6211" w:type="dxa"/>
            <w:tcBorders/>
            <w:shd w:fill="CCEEFF" w:val="clear"/>
            <w:vAlign w:val="bottom"/>
          </w:tcPr>
          <w:p>
            <w:pPr>
              <w:pStyle w:val="TableContents"/>
              <w:keepNext w:val="false"/>
              <w:widowControl/>
              <w:pBdr/>
              <w:bidi w:val="0"/>
              <w:spacing w:before="0" w:after="283"/>
              <w:ind w:left="200" w:right="0" w:hanging="200"/>
              <w:jc w:val="left"/>
              <w:rPr/>
            </w:pPr>
            <w:hyperlink w:anchor="T606">
              <w:r>
                <w:rPr>
                  <w:rStyle w:val="InternetLink"/>
                  <w:rFonts w:ascii="Times New Roman PS Std;serif" w:hAnsi="Times New Roman PS Std;serif"/>
                  <w:b w:val="false"/>
                  <w:i w:val="false"/>
                  <w:caps w:val="false"/>
                  <w:smallCaps w:val="false"/>
                  <w:sz w:val="20"/>
                </w:rPr>
                <w:t xml:space="preserve">CAPITALIZATION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S-18</w:t>
            </w:r>
          </w:p>
        </w:tc>
      </w:tr>
      <w:tr>
        <w:trPr/>
        <w:tc>
          <w:tcPr>
            <w:tcW w:w="6211" w:type="dxa"/>
            <w:tcBorders/>
            <w:vAlign w:val="bottom"/>
          </w:tcPr>
          <w:p>
            <w:pPr>
              <w:pStyle w:val="TableContents"/>
              <w:keepNext w:val="false"/>
              <w:widowControl/>
              <w:pBdr/>
              <w:bidi w:val="0"/>
              <w:spacing w:before="0" w:after="283"/>
              <w:ind w:left="200" w:right="0" w:hanging="200"/>
              <w:jc w:val="left"/>
              <w:rPr/>
            </w:pPr>
            <w:hyperlink w:anchor="T607">
              <w:r>
                <w:rPr>
                  <w:rStyle w:val="InternetLink"/>
                  <w:rFonts w:ascii="Times New Roman PS Std;serif" w:hAnsi="Times New Roman PS Std;serif"/>
                  <w:b w:val="false"/>
                  <w:i w:val="false"/>
                  <w:caps w:val="false"/>
                  <w:smallCaps w:val="false"/>
                  <w:sz w:val="20"/>
                </w:rPr>
                <w:t xml:space="preserve">SENIOR SECURITIES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S-19</w:t>
            </w:r>
          </w:p>
        </w:tc>
      </w:tr>
      <w:tr>
        <w:trPr/>
        <w:tc>
          <w:tcPr>
            <w:tcW w:w="6211" w:type="dxa"/>
            <w:tcBorders/>
            <w:shd w:fill="CCEEFF" w:val="clear"/>
            <w:vAlign w:val="bottom"/>
          </w:tcPr>
          <w:p>
            <w:pPr>
              <w:pStyle w:val="TableContents"/>
              <w:keepNext w:val="false"/>
              <w:widowControl/>
              <w:pBdr/>
              <w:bidi w:val="0"/>
              <w:spacing w:before="0" w:after="283"/>
              <w:ind w:left="200" w:right="0" w:hanging="200"/>
              <w:jc w:val="left"/>
              <w:rPr/>
            </w:pPr>
            <w:hyperlink w:anchor="T608">
              <w:r>
                <w:rPr>
                  <w:rStyle w:val="InternetLink"/>
                  <w:rFonts w:ascii="Times New Roman PS Std;serif" w:hAnsi="Times New Roman PS Std;serif"/>
                  <w:b w:val="false"/>
                  <w:i w:val="false"/>
                  <w:caps w:val="false"/>
                  <w:smallCaps w:val="false"/>
                  <w:sz w:val="20"/>
                </w:rPr>
                <w:t xml:space="preserve">CERTAIN U.S. FEDERAL INCOME TAX CONSIDERATIONS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S-20</w:t>
            </w:r>
          </w:p>
        </w:tc>
      </w:tr>
      <w:tr>
        <w:trPr/>
        <w:tc>
          <w:tcPr>
            <w:tcW w:w="6211" w:type="dxa"/>
            <w:tcBorders/>
            <w:vAlign w:val="bottom"/>
          </w:tcPr>
          <w:p>
            <w:pPr>
              <w:pStyle w:val="TableContents"/>
              <w:keepNext w:val="false"/>
              <w:widowControl/>
              <w:pBdr/>
              <w:bidi w:val="0"/>
              <w:spacing w:before="0" w:after="283"/>
              <w:ind w:left="200" w:right="0" w:hanging="200"/>
              <w:jc w:val="left"/>
              <w:rPr/>
            </w:pPr>
            <w:hyperlink w:anchor="T609">
              <w:r>
                <w:rPr>
                  <w:rStyle w:val="InternetLink"/>
                  <w:rFonts w:ascii="Times New Roman PS Std;serif" w:hAnsi="Times New Roman PS Std;serif"/>
                  <w:b w:val="false"/>
                  <w:i w:val="false"/>
                  <w:caps w:val="false"/>
                  <w:smallCaps w:val="false"/>
                  <w:sz w:val="20"/>
                </w:rPr>
                <w:t xml:space="preserve">DESCRIPTION OF THE NOTES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S-24</w:t>
            </w:r>
          </w:p>
        </w:tc>
      </w:tr>
      <w:tr>
        <w:trPr/>
        <w:tc>
          <w:tcPr>
            <w:tcW w:w="6211" w:type="dxa"/>
            <w:tcBorders/>
            <w:shd w:fill="CCEEFF" w:val="clear"/>
            <w:vAlign w:val="bottom"/>
          </w:tcPr>
          <w:p>
            <w:pPr>
              <w:pStyle w:val="TableContents"/>
              <w:keepNext w:val="false"/>
              <w:widowControl/>
              <w:pBdr/>
              <w:bidi w:val="0"/>
              <w:spacing w:before="0" w:after="283"/>
              <w:ind w:left="200" w:right="0" w:hanging="200"/>
              <w:jc w:val="left"/>
              <w:rPr/>
            </w:pPr>
            <w:hyperlink w:anchor="T610">
              <w:r>
                <w:rPr>
                  <w:rStyle w:val="InternetLink"/>
                  <w:rFonts w:ascii="Times New Roman PS Std;serif" w:hAnsi="Times New Roman PS Std;serif"/>
                  <w:b w:val="false"/>
                  <w:i w:val="false"/>
                  <w:caps w:val="false"/>
                  <w:smallCaps w:val="false"/>
                  <w:sz w:val="20"/>
                </w:rPr>
                <w:t xml:space="preserve">UNDERWRITING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S-38</w:t>
            </w:r>
          </w:p>
        </w:tc>
      </w:tr>
      <w:tr>
        <w:trPr/>
        <w:tc>
          <w:tcPr>
            <w:tcW w:w="6211" w:type="dxa"/>
            <w:tcBorders/>
            <w:vAlign w:val="bottom"/>
          </w:tcPr>
          <w:p>
            <w:pPr>
              <w:pStyle w:val="TableContents"/>
              <w:keepNext w:val="false"/>
              <w:widowControl/>
              <w:pBdr/>
              <w:bidi w:val="0"/>
              <w:spacing w:before="0" w:after="283"/>
              <w:ind w:left="200" w:right="0" w:hanging="200"/>
              <w:jc w:val="left"/>
              <w:rPr/>
            </w:pPr>
            <w:hyperlink w:anchor="T611">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S-46</w:t>
            </w:r>
          </w:p>
        </w:tc>
      </w:tr>
      <w:tr>
        <w:trPr/>
        <w:tc>
          <w:tcPr>
            <w:tcW w:w="6211" w:type="dxa"/>
            <w:tcBorders/>
            <w:shd w:fill="CCEEFF" w:val="clear"/>
            <w:vAlign w:val="bottom"/>
          </w:tcPr>
          <w:p>
            <w:pPr>
              <w:pStyle w:val="TableContents"/>
              <w:keepNext w:val="false"/>
              <w:widowControl/>
              <w:pBdr/>
              <w:bidi w:val="0"/>
              <w:spacing w:before="0" w:after="283"/>
              <w:ind w:left="200" w:right="0" w:hanging="200"/>
              <w:jc w:val="left"/>
              <w:rPr/>
            </w:pPr>
            <w:hyperlink w:anchor="T612">
              <w:r>
                <w:rPr>
                  <w:rStyle w:val="InternetLink"/>
                  <w:rFonts w:ascii="Times New Roman PS Std;serif" w:hAnsi="Times New Roman PS Std;serif"/>
                  <w:b w:val="false"/>
                  <w:i w:val="false"/>
                  <w:caps w:val="false"/>
                  <w:smallCaps w:val="false"/>
                  <w:sz w:val="20"/>
                </w:rPr>
                <w:t xml:space="preserve">INCORPORATION OF CERTAIN INFORMATION BY REFERENCE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S-47</w:t>
            </w:r>
          </w:p>
        </w:tc>
      </w:tr>
    </w:tbl>
    <w:p>
      <w:pPr>
        <w:pStyle w:val="TextBody"/>
        <w:keepNext w:val="fals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1">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2">
              <w:r>
                <w:rPr>
                  <w:rStyle w:val="InternetLink"/>
                  <w:rFonts w:ascii="Times New Roman PS Std;serif" w:hAnsi="Times New Roman PS Std;serif"/>
                  <w:b w:val="false"/>
                  <w:i w:val="false"/>
                  <w:caps w:val="false"/>
                  <w:smallCaps w:val="false"/>
                  <w:sz w:val="20"/>
                </w:rPr>
                <w:t xml:space="preserve">FEES AND EXPENSES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3">
              <w:r>
                <w:rPr>
                  <w:rStyle w:val="InternetLink"/>
                  <w:rFonts w:ascii="Times New Roman PS Std;serif" w:hAnsi="Times New Roman PS Std;serif"/>
                  <w:b w:val="false"/>
                  <w:i w:val="false"/>
                  <w:caps w:val="false"/>
                  <w:smallCaps w:val="false"/>
                  <w:sz w:val="20"/>
                </w:rPr>
                <w:t xml:space="preserve">FINANCIAL HIGHLIGHTS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4">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5">
              <w:r>
                <w:rPr>
                  <w:rStyle w:val="InternetLink"/>
                  <w:rFonts w:ascii="Times New Roman PS Std;serif" w:hAnsi="Times New Roman PS Std;serif"/>
                  <w:b w:val="false"/>
                  <w:i w:val="false"/>
                  <w:caps w:val="false"/>
                  <w:smallCaps w:val="false"/>
                  <w:sz w:val="20"/>
                </w:rPr>
                <w:t xml:space="preserve">SPECIAL NOTE REGARDING FORWARD-LOOKING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6">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7">
              <w:r>
                <w:rPr>
                  <w:rStyle w:val="InternetLink"/>
                  <w:rFonts w:ascii="Times New Roman PS Std;serif" w:hAnsi="Times New Roman PS Std;serif"/>
                  <w:b w:val="false"/>
                  <w:i w:val="false"/>
                  <w:caps w:val="false"/>
                  <w:smallCaps w:val="false"/>
                  <w:sz w:val="20"/>
                </w:rPr>
                <w:t xml:space="preserve">PRICE RANGE OF COMMON STOCK AND DISTRIBUTIONS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8">
              <w:r>
                <w:rPr>
                  <w:rStyle w:val="InternetLink"/>
                  <w:rFonts w:ascii="Times New Roman PS Std;serif" w:hAnsi="Times New Roman PS Std;serif"/>
                  <w:b w:val="false"/>
                  <w:i w:val="false"/>
                  <w:caps w:val="false"/>
                  <w:smallCaps w:val="false"/>
                  <w:sz w:val="20"/>
                </w:rPr>
                <w:t>MANAGEMENT’S DISCUSSION AND ANALYSIS OF FINANCIAL CONDITION AND RESULTS OF OPERATIONS</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9">
              <w:r>
                <w:rPr>
                  <w:rStyle w:val="InternetLink"/>
                  <w:rFonts w:ascii="Times New Roman PS Std;serif" w:hAnsi="Times New Roman PS Std;serif"/>
                  <w:b w:val="false"/>
                  <w:i w:val="false"/>
                  <w:caps w:val="false"/>
                  <w:smallCaps w:val="false"/>
                  <w:sz w:val="20"/>
                </w:rPr>
                <w:t xml:space="preserve">BUSINESS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0">
              <w:r>
                <w:rPr>
                  <w:rStyle w:val="InternetLink"/>
                  <w:rFonts w:ascii="Times New Roman PS Std;serif" w:hAnsi="Times New Roman PS Std;serif"/>
                  <w:b w:val="false"/>
                  <w:i w:val="false"/>
                  <w:caps w:val="false"/>
                  <w:smallCaps w:val="false"/>
                  <w:sz w:val="20"/>
                </w:rPr>
                <w:t xml:space="preserve">SENIOR SECURITIES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1">
              <w:r>
                <w:rPr>
                  <w:rStyle w:val="InternetLink"/>
                  <w:rFonts w:ascii="Times New Roman PS Std;serif" w:hAnsi="Times New Roman PS Std;serif"/>
                  <w:b w:val="false"/>
                  <w:i w:val="false"/>
                  <w:caps w:val="false"/>
                  <w:smallCaps w:val="false"/>
                  <w:sz w:val="20"/>
                </w:rPr>
                <w:t xml:space="preserve">PORTFOLIO COMPANIES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2">
              <w:r>
                <w:rPr>
                  <w:rStyle w:val="InternetLink"/>
                  <w:rFonts w:ascii="Times New Roman PS Std;serif" w:hAnsi="Times New Roman PS Std;serif"/>
                  <w:b w:val="false"/>
                  <w:i w:val="false"/>
                  <w:caps w:val="false"/>
                  <w:smallCaps w:val="false"/>
                  <w:sz w:val="20"/>
                </w:rPr>
                <w:t xml:space="preserve">MANAGEMENT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3">
              <w:r>
                <w:rPr>
                  <w:rStyle w:val="InternetLink"/>
                  <w:rFonts w:ascii="Times New Roman PS Std;serif" w:hAnsi="Times New Roman PS Std;serif"/>
                  <w:b w:val="false"/>
                  <w:i w:val="false"/>
                  <w:caps w:val="false"/>
                  <w:smallCaps w:val="false"/>
                  <w:sz w:val="20"/>
                </w:rPr>
                <w:t xml:space="preserve">EXECUTIVE COMPENSATION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4">
              <w:r>
                <w:rPr>
                  <w:rStyle w:val="InternetLink"/>
                  <w:rFonts w:ascii="Times New Roman PS Std;serif" w:hAnsi="Times New Roman PS Std;serif"/>
                  <w:b w:val="false"/>
                  <w:i w:val="false"/>
                  <w:caps w:val="false"/>
                  <w:smallCaps w:val="false"/>
                  <w:sz w:val="20"/>
                </w:rPr>
                <w:t xml:space="preserve">CERTAIN RELATIONSHIPS AND RELATED-PARTY TRANSACTIONS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5">
              <w:r>
                <w:rPr>
                  <w:rStyle w:val="InternetLink"/>
                  <w:rFonts w:ascii="Times New Roman PS Std;serif" w:hAnsi="Times New Roman PS Std;serif"/>
                  <w:b w:val="false"/>
                  <w:i w:val="false"/>
                  <w:caps w:val="false"/>
                  <w:smallCaps w:val="false"/>
                  <w:sz w:val="20"/>
                </w:rPr>
                <w:t xml:space="preserve">CONTROL PERSONS AND PRINCIPAL STOCKHOLDERS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6">
              <w:r>
                <w:rPr>
                  <w:rStyle w:val="InternetLink"/>
                  <w:rFonts w:ascii="Times New Roman PS Std;serif" w:hAnsi="Times New Roman PS Std;serif"/>
                  <w:b w:val="false"/>
                  <w:i w:val="false"/>
                  <w:caps w:val="false"/>
                  <w:smallCaps w:val="false"/>
                  <w:sz w:val="20"/>
                </w:rPr>
                <w:t xml:space="preserve">DETERMINATION OF NET ASSET VALUE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7">
              <w:r>
                <w:rPr>
                  <w:rStyle w:val="InternetLink"/>
                  <w:rFonts w:ascii="Times New Roman PS Std;serif" w:hAnsi="Times New Roman PS Std;serif"/>
                  <w:b w:val="false"/>
                  <w:i w:val="false"/>
                  <w:caps w:val="false"/>
                  <w:smallCaps w:val="false"/>
                  <w:sz w:val="20"/>
                </w:rPr>
                <w:t xml:space="preserve">SALES OF COMMON STOCK BELOW NET ASSET VALUE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8">
              <w:r>
                <w:rPr>
                  <w:rStyle w:val="InternetLink"/>
                  <w:rFonts w:ascii="Times New Roman PS Std;serif" w:hAnsi="Times New Roman PS Std;serif"/>
                  <w:b w:val="false"/>
                  <w:i w:val="false"/>
                  <w:caps w:val="false"/>
                  <w:smallCaps w:val="false"/>
                  <w:sz w:val="20"/>
                </w:rPr>
                <w:t xml:space="preserve">DISTRIBUTION REINVESTMENT PLAN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9">
              <w:r>
                <w:rPr>
                  <w:rStyle w:val="InternetLink"/>
                  <w:rFonts w:ascii="Times New Roman PS Std;serif" w:hAnsi="Times New Roman PS Std;serif"/>
                  <w:b w:val="false"/>
                  <w:i w:val="false"/>
                  <w:caps w:val="false"/>
                  <w:smallCaps w:val="false"/>
                  <w:sz w:val="20"/>
                </w:rPr>
                <w:t xml:space="preserve">CERTAIN U.S. FEDERAL INCOME TAX CONSIDERATIONS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0">
              <w:r>
                <w:rPr>
                  <w:rStyle w:val="InternetLink"/>
                  <w:rFonts w:ascii="Times New Roman PS Std;serif" w:hAnsi="Times New Roman PS Std;serif"/>
                  <w:b w:val="false"/>
                  <w:i w:val="false"/>
                  <w:caps w:val="false"/>
                  <w:smallCaps w:val="false"/>
                  <w:sz w:val="20"/>
                </w:rPr>
                <w:t xml:space="preserve">DESCRIPTION OF OUR CAPITAL STOCK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1">
              <w:r>
                <w:rPr>
                  <w:rStyle w:val="InternetLink"/>
                  <w:rFonts w:ascii="Times New Roman PS Std;serif" w:hAnsi="Times New Roman PS Std;serif"/>
                  <w:b w:val="false"/>
                  <w:i w:val="false"/>
                  <w:caps w:val="false"/>
                  <w:smallCaps w:val="false"/>
                  <w:sz w:val="20"/>
                </w:rPr>
                <w:t xml:space="preserve">DESCRIPTION OF OUR PREFERRED STOCK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2">
              <w:r>
                <w:rPr>
                  <w:rStyle w:val="InternetLink"/>
                  <w:rFonts w:ascii="Times New Roman PS Std;serif" w:hAnsi="Times New Roman PS Std;serif"/>
                  <w:b w:val="false"/>
                  <w:i w:val="false"/>
                  <w:caps w:val="false"/>
                  <w:smallCaps w:val="false"/>
                  <w:sz w:val="20"/>
                </w:rPr>
                <w:t xml:space="preserve">DESCRIPTION OF OUR SUBSCRIPTION RIGHTS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3">
              <w:r>
                <w:rPr>
                  <w:rStyle w:val="InternetLink"/>
                  <w:rFonts w:ascii="Times New Roman PS Std;serif" w:hAnsi="Times New Roman PS Std;serif"/>
                  <w:b w:val="false"/>
                  <w:i w:val="false"/>
                  <w:caps w:val="false"/>
                  <w:smallCaps w:val="false"/>
                  <w:sz w:val="20"/>
                </w:rPr>
                <w:t xml:space="preserve">DESCRIPTION OF OUR WARRANTS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4">
              <w:r>
                <w:rPr>
                  <w:rStyle w:val="InternetLink"/>
                  <w:rFonts w:ascii="Times New Roman PS Std;serif" w:hAnsi="Times New Roman PS Std;serif"/>
                  <w:b w:val="false"/>
                  <w:i w:val="false"/>
                  <w:caps w:val="false"/>
                  <w:smallCaps w:val="false"/>
                  <w:sz w:val="20"/>
                </w:rPr>
                <w:t xml:space="preserve">DESCRIPTION OF OUR DEBT SECURITIES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5">
              <w:r>
                <w:rPr>
                  <w:rStyle w:val="InternetLink"/>
                  <w:rFonts w:ascii="Times New Roman PS Std;serif" w:hAnsi="Times New Roman PS Std;serif"/>
                  <w:b w:val="false"/>
                  <w:i w:val="false"/>
                  <w:caps w:val="false"/>
                  <w:smallCaps w:val="false"/>
                  <w:sz w:val="20"/>
                </w:rPr>
                <w:t>ISSUANCE OF OPTIONS, WARRANTS OR SECURITIES TO SUBSCRIBE FOR OR CONVERTIBLE INTO SHARES OF OUR COMMON STOCK</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6">
              <w:r>
                <w:rPr>
                  <w:rStyle w:val="InternetLink"/>
                  <w:rFonts w:ascii="Times New Roman PS Std;serif" w:hAnsi="Times New Roman PS Std;serif"/>
                  <w:b w:val="false"/>
                  <w:i w:val="false"/>
                  <w:caps w:val="false"/>
                  <w:smallCaps w:val="false"/>
                  <w:sz w:val="20"/>
                </w:rPr>
                <w:t xml:space="preserve">REGULATION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7">
              <w:r>
                <w:rPr>
                  <w:rStyle w:val="InternetLink"/>
                  <w:rFonts w:ascii="Times New Roman PS Std;serif" w:hAnsi="Times New Roman PS Std;serif"/>
                  <w:b w:val="false"/>
                  <w:i w:val="false"/>
                  <w:caps w:val="false"/>
                  <w:smallCaps w:val="false"/>
                  <w:sz w:val="20"/>
                </w:rPr>
                <w:t xml:space="preserve">PLAN OF DISTRIBUTION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8">
              <w:r>
                <w:rPr>
                  <w:rStyle w:val="InternetLink"/>
                  <w:rFonts w:ascii="Times New Roman PS Std;serif" w:hAnsi="Times New Roman PS Std;serif"/>
                  <w:b w:val="false"/>
                  <w:i w:val="false"/>
                  <w:caps w:val="false"/>
                  <w:smallCaps w:val="false"/>
                  <w:sz w:val="20"/>
                </w:rPr>
                <w:t xml:space="preserve">CUSTODIAN, TRANSFER AND DIVIDEND PAYING AGENT AND REGISTRAR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9">
              <w:r>
                <w:rPr>
                  <w:rStyle w:val="InternetLink"/>
                  <w:rFonts w:ascii="Times New Roman PS Std;serif" w:hAnsi="Times New Roman PS Std;serif"/>
                  <w:b w:val="false"/>
                  <w:i w:val="false"/>
                  <w:caps w:val="false"/>
                  <w:smallCaps w:val="false"/>
                  <w:sz w:val="20"/>
                </w:rPr>
                <w:t xml:space="preserve">BROKERAGE ALLOCATION AND OTHER PRACTICES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30">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31">
              <w:r>
                <w:rPr>
                  <w:rStyle w:val="InternetLink"/>
                  <w:rFonts w:ascii="Times New Roman PS Std;serif" w:hAnsi="Times New Roman PS Std;serif"/>
                  <w:b w:val="false"/>
                  <w:i w:val="false"/>
                  <w:caps w:val="false"/>
                  <w:smallCaps w:val="false"/>
                  <w:sz w:val="20"/>
                </w:rPr>
                <w:t xml:space="preserve">INDEPENDENT REGISTERED PUBLIC ACCOUNTING FIRM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32">
              <w:r>
                <w:rPr>
                  <w:rStyle w:val="InternetLink"/>
                  <w:rFonts w:ascii="Times New Roman PS Std;serif" w:hAnsi="Times New Roman PS Std;serif"/>
                  <w:b w:val="false"/>
                  <w:i w:val="false"/>
                  <w:caps w:val="false"/>
                  <w:smallCaps w:val="false"/>
                  <w:sz w:val="20"/>
                </w:rPr>
                <w:t xml:space="preserve">AVAILABLE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33">
              <w:r>
                <w:rPr>
                  <w:rStyle w:val="InternetLink"/>
                  <w:rFonts w:ascii="Times New Roman PS Std;serif" w:hAnsi="Times New Roman PS Std;serif"/>
                  <w:b w:val="false"/>
                  <w:i w:val="false"/>
                  <w:caps w:val="false"/>
                  <w:smallCaps w:val="false"/>
                  <w:sz w:val="20"/>
                </w:rPr>
                <w:t xml:space="preserve">INCORPORATION OF CERTAIN INFORMATION BY REFERENCE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600"/>
      <w:bookmarkEnd w:id="3"/>
      <w:r>
        <w:rPr>
          <w:rFonts w:ascii="Times New Roman PS Std;serif" w:hAnsi="Times New Roman PS Std;serif"/>
          <w:b/>
          <w:i w:val="false"/>
          <w:caps w:val="false"/>
          <w:smallCaps w:val="false"/>
          <w:sz w:val="20"/>
        </w:rPr>
        <w:t xml:space="preserve">ABOUT THIS PROSPECTUS SUPPLEMENT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should rely only on the information contained in this prospectus supplement, the accompanying prospectus, any free writing prospectus related to the offering of the Notes and the documents incorporated by reference herein and therein. Neither we nor the underwriters have authorized anyone to give you any information other than in this prospectus supplement, the accompanying prospectus, any free writing prospectus related to this offering, or any information that we have incorporated by reference herein or therein and we take no responsibility for any other information that others may give you. We are not making an offer to sell these securities in any jurisdiction where the offer or sale is not permitted. You should assume that the information appearing in this prospectus supplement, the accompanying prospectus and any free writing prospectus related to this offering is accurate only as of their respective dates. Our business, financial condition, results of operations and prospects may have changed since that date. We will update these documents to reflect material changes only as required by law. This prospectus supplement supersedes the accompanying prospectus to the extent it contains information different from or additional to the information in that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is in two parts. The first part is this prospectus supplement, which describes the terms of this offering and also adds to and updates information contained in the accompanying prospectus. The second part is the accompanying prospectus, which gives more general information and disclosure. To the extent the information contained in this prospectus supplement differs from the information contained in the accompanying prospectus, the information in this prospectus supplement shall control. Please carefully read this prospectus supplement and the accompanying prospectus, together with any documents incorporated by reference herein and therein, any exhibits and the additional information described under the headings “</w:t>
      </w:r>
      <w:r>
        <w:rPr>
          <w:rFonts w:ascii="Times New Roman PS Std;serif" w:hAnsi="Times New Roman PS Std;serif"/>
          <w:b w:val="false"/>
          <w:i/>
          <w:caps w:val="false"/>
          <w:smallCaps w:val="false"/>
          <w:sz w:val="20"/>
        </w:rPr>
        <w:t>Incorporation of Certain Information By Reference</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Prospectus Summary</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in this prospectus supplement and the accompanying prospectus, “</w:t>
      </w:r>
      <w:r>
        <w:rPr>
          <w:rFonts w:ascii="Times New Roman PS Std;serif" w:hAnsi="Times New Roman PS Std;serif"/>
          <w:b w:val="false"/>
          <w:i/>
          <w:caps w:val="false"/>
          <w:smallCaps w:val="false"/>
          <w:sz w:val="20"/>
        </w:rPr>
        <w:t>Available Information</w:t>
      </w:r>
      <w:r>
        <w:rPr>
          <w:rFonts w:ascii="Times New Roman PS Std;serif" w:hAnsi="Times New Roman PS Std;serif"/>
          <w:b w:val="false"/>
          <w:i w:val="false"/>
          <w:caps w:val="false"/>
          <w:smallCaps w:val="false"/>
          <w:sz w:val="20"/>
        </w:rPr>
        <w:t>” in the accompanying prospectus, and the documents incorporated by reference herein and therein before you make an investment decision.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includes summaries of certain provisions contained in some of the documents described in this prospectus supplement,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in the section titled “</w:t>
      </w:r>
      <w:r>
        <w:rPr>
          <w:rFonts w:ascii="Times New Roman PS Std;serif" w:hAnsi="Times New Roman PS Std;serif"/>
          <w:b w:val="false"/>
          <w:i/>
          <w:caps w:val="false"/>
          <w:smallCaps w:val="false"/>
          <w:sz w:val="20"/>
        </w:rPr>
        <w:t>Available Information</w:t>
      </w:r>
      <w:r>
        <w:rPr>
          <w:rFonts w:ascii="Times New Roman PS Std;serif" w:hAnsi="Times New Roman PS Std;serif"/>
          <w:b w:val="false"/>
          <w:i w:val="false"/>
          <w:caps w:val="false"/>
          <w:smallCaps w:val="false"/>
          <w:sz w:val="20"/>
        </w:rPr>
        <w:t>” in the accompanying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4" w:name="T601"/>
      <w:bookmarkEnd w:id="4"/>
      <w:r>
        <w:rPr>
          <w:rFonts w:ascii="Times New Roman PS Std;serif" w:hAnsi="Times New Roman PS Std;serif"/>
          <w:b/>
          <w:i w:val="false"/>
          <w:caps w:val="false"/>
          <w:smallCaps w:val="false"/>
          <w:sz w:val="20"/>
          <w:bdr w:val="single" w:sz="8" w:space="10" w:color="000000"/>
        </w:rPr>
        <w:t xml:space="preserve">PROSPECTUS SUPPLEMENT 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some of the information in this prospectus supplement and the accompanying prospectus and the information incorporated by reference herein and therein. It is not complete and may not contain all of the information that you may want to consider before investing in the Notes. You should carefully read the entire prospectus supplement, the accompanying prospectus, any related free writing prospectus and the other information incorporated by reference herein and therein before investing in the Notes. Throughout this prospectus supplement, except where the context suggests otherwise, the terms “we,” “us,” “our,” “Trinity” and “the Company,” refer collectively to the Legacy Funds (as defined below) and their respective subsidiaries, general partners, managers and managing members, as applicable prior to the consummation of the Formation Transactions (as defined below) and Trinity Capital Inc. after the consummation of the Formation Transactions.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Trinity Capital Inc.</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specialty lending company providing debt, including loans, equipment financings and asset-based lending, to growth-oriented companies, including institutional investor-backed companies. Our investment objective is to generate current income and, to a lesser extent, capital appreciation through our investments across five distinct vertical markets. We seek to achieve our investment objective by making investments consisting primarily of term loans, equipment financings and asset-based lending and, to a lesser extent, working capital loans, equity and equity-related investments. Our equipment financings involve loans for general or specific use, including acquiring equipment, that are secured by the equipment or other assets of the portfolio company. In addition, we may obtain warrants or contingent exit fees at funding from many of our portfolio companies, providing an additional potential source of investment returns. The warrants entitle us to purchase preferred or common ownership shares of a portfolio company, and we typically target the amount of such warrants to scale in proportion to the amount of the debt or equipment financing. Contingent exit fees are cash fees payable upon the consummation of certain trigger events, such as a successful change of control or initial public offering of the portfolio company. In addition, we may obtain rights to purchase additional shares of our portfolio companies in subsequent equity financing rounds.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target investments in growth-oriented companies with institutional investor support, experienced management teams, promising products and offerings, and large expanding markets. We define “growth-oriented companies” as companies that have significant ownership and active participation by sponsors and expected annual revenues of up to $100 million. These companies typically are private companies that have begun to have success selling their products to the market and need additional capital to expand their operations and sales. Despite often achieving growing revenues, these types of companies typically have limited financing options to fund their growth. Equity, being dilutive in nature, is generally the most expensive form of capital available, while traditional bank financing is rarely available, given the lifecycle stage of these companies. Financing from us bridges this financing gap, providing companies with growth capital, which may result in improved profitability, less dilution for all equity investors, and increased enterprise value. Subject to the requirements of the Investment Company Act of 1940, as amended (the “1940 Act”), we are not limited to investing in any particular industry or geographic area and seek to invest in under-financed segments of the private credit markets. The debt in which we invest typically is not rated by any rating agency, but if these instruments were rated, they would likely receive a rating of below investment grade (that is, below BBB- or Baa3), which is often referred to as “high yield” or “junk.”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primarily seek to invest in loans and equipment financings to growth-oriented companies that have generally completed product development and are in need of capital to fund revenue growth. We believe a lack of profitability often limits these companies’ ability to access traditional bank financing and our in-house engineering and operations experience allows us to better understand this risk and earn what we believe to be higher overall returns and better risk-adjusted returns than those associated with traditional bank loans. Leveraging the experience of our investment professionals, we seek to target companies at their growth-oriented stage of development and seek to identify financing opportunities ignored by the traditional direct lending community.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loans generally may have initial interest-only periods of up to 36 months, and our equipment financings generally begin amortizing immediately. Our loans and equipment financings generally have a total term of up to 60 months. These investments are typically secured by a blanket first position lien, a specific asset lien 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mission-critical assets and/or a blanket second position lien. We may also make a limited number of direct equity and equity-related investments in conjunction with our debt investments. We target growth-oriented companies that have recently issued equity to raise cash to offset potential cash flow needs related to projected growth, have achieved positive cash flow to cover debt service, or have institutional investors committed to providing additional funding. A loan or equipment financing may be structured to tie the amortization of the loan or equipment financing to the portfolio company’s projected cash balances while cash is still available for operations. As such, the loan or equipment financing may have a reduced risk of default. We believe that the amortizing nature of our investments significantly reduces the risk of our investments over a relatively short period. We focus on protecting and recovering principal in each investment and structure our investments to provide downside protection.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loans and equipment financings generally range from $5 million to $50 million and we generally limit each loan or equipment financing to approximately five percent or less of our total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an internally managed, closed-end, non-diversified management investment company that has elected to be regulated as a business development company (“BDC”) under the 1940 Act. We have elected to be treated, and intend to qualify annually, as a regulated investment company (“RIC”) under Subchapter M of the Internal Revenue Code of 1986, as amended (the “Code”), for U.S. federal income tax purposes. As a BDC and a RIC, we are required to comply with certain regulatory requirements. See “Regulation” and “Certain U.S. Federal Income Tax Considerations” in the accompanying prospectus for additional information. For example, as a BDC, at least 70% of our assets must be assets of the type listed in Section 55(a) of the 1940 Act, as described in the accompanying prospectus.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Management Team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an internally managed BDC employing 106 dedicated professionals as of December 31, 2025, including 66 investment, origination and portfolio management professionals, all of whom have experience working on investment and financing transactions for growth- and early-stage companies. All of our employees are located in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management team has prior management experience, including with early-stage tech startups, and employs a highly systematized investment approach. Our senior management team, led by Kyle Brown, comprises the majority of the senior management team that managed Trinity Capital Investment, LLC, Trinity Capital Fund II, L.P., Trinity Capital Fund III, L.P., Trinity Capital Fund IV, L.P., and Trinity Sidecar Income Fund, L.P. (collectively, the “Legacy Funds”) and sourced all of their respective assets, including their respective investment portfolios, and we believe is well positioned to take advantage of potential investment opportunities available in the marketplace.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Kyle Brown, our Chief Executive Officer, President and Chief Investment Officer, has been with Trinity since 2015 and is responsible for managing Trinity’s investment activities. He has historically managed relationships with potential investment partners, including venture capital firms and technology bank lenders, allowing us to nearly triple the number of investment opportunities reviewed by our senior management after Mr. Brown joined the senior management of Trinity.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Steven L. Brown, our founder, is our Executive Chairman and has over 25 years of experience in venture equity and venture debt investing and working with growth-stage companies.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Gerald Harder, our Chief Operating Officer, has been with Trinity since 2016, and we believe his prior 30 years of engineering and operations experience adds significant value in guiding the Company’s operations team and steward strategy.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Ron Kundich, our Chief Credit Officer, is responsible for overseeing the Company’s lending, underwriting and credit processes. He has over 25 years of experience supporting venture-backed companies.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Michael Testa, our Chief Financial Officer and Treasurer, has over 20 years of finance and accounting experience, having worked both at a credit-focused asset manager and a large global accounting firm.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All investment decisions are made by our investment committee (the “Investment Committee”), whose members consist of Steven L. Brown, Gerald Harder, Kyle Brown, Ron Kundich and a vertical market leader (on a rotating basis throughout the year). We consider these individuals to be our portfolio managers. The Investment Committee approves proposed investments by majority consent in accordance with investment guidelines and procedures established by the Investment Committee. See “Management” and “Executive Compensation” in the accompanying prospectus for additional information regarding these individuals.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members of the Investment Committee have worked together in predecessor investment funds, including the Legacy Funds, and bring decades of combined experience investing in venture debt and venture capital and managing venture-backed start-ups and other public and private entities. As a result, the members of the Investment Committee have strong backgrounds in venture capital, private equity, investing, finance, operations, management and intellectual property, and have developed a strong working knowledge in these areas and a broad network of contacts. Combined, as of June 30, 2026, the members of the Investment Committee had over 75 years in aggregate of operating experience in various public and private companies, many of them venture-funded. As a group, they have managed through all aspects of the venture capital lifecycle, including participating in change of control transactions with venture-backed companies that they founded and/or served.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Potential Competitive Advantages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that we are one of only a select group of specialty lenders that has our depth of knowledge, experience, and track record in lending to growth-oriented companies. Further, we are one of an even smaller subset of specialty lenders that offers both loans and equipment financings. Our other potential competitive advantages include: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In-house</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engineering and operations expertise to evaluate growth-oriented</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companies’ business products and plans.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Direct origination networks that benefit from relationships with venture banks, institutional equity investors and entrepreneurs built during the term of operations of the Legacy Funds, which began in 2008.</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A dedicated staff of professionals covering credit origination and underwriting, as well as portfolio management functions.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A proprietary credit rating system and regimented process for evaluating and underwriting prospective portfolio companies.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Scalable software platforms developed during the term of operations of the Legacy Funds, which support our underwriting processes and loan monitoring functions.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Market Opportunity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that an attractive market opportunity exists for providing debt and equipment financings to growth-oriented companies for the following reasons: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Growth-oriented companies have generally been underserved by traditional lending sources.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Unfulfilled demand exists for loans and equipment financings to growth-oriented companies due to the complexity of evaluating risk in these investments.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Debt investments with warrants are less dilutive than traditional equity financing and complement equity financing from venture capital and private equity funds.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Equity funding of growth-oriented companies, including venture capital backed companies, has increased steadily over the last 15 years, resulting in new lending and equipment financing opportunities.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annual venture debt market in the U.S. surpassed $25 billion for more than five consecutive years in 2025. We believe that the equipment financing market is even more fragmented, with the majority of equipment financing providers unable to fund investments for more than $10 million. We believe there are significant growth opportunities for us to expand our market share in the venture debt market and become a one-stop shop for loans and equipment financings for growth-oriented companies.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Growth-Oriented Companies are Underserved by Traditional Lenders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many viable growth-oriented companies have been unable to obtain sufficient growth financing from traditional lenders, including financial services companies such as commercial banks and finance companies, because traditional lenders have continued to consolidate and have adopted a more risk-averse approach to lending. More importantly, we believe traditional lenders are typically unable to underwrite the risk associated with these companies effectively.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cash flow characteristics of many growth-oriented companies include significant research and development expenditures and high projected revenue growth, thus often making such companies difficult to evaluate from a credit perspective. In addition, the balance sheets of many of these companies often include a disproportionately large amount of intellectual property assets, which can be difficult to value. Finally, the speed of innovation in technology and rapid shifts in consumer demand and market share add to the difficulty in evaluating these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Due to the difficulties described above, we believe traditional lenders generally refrain from lending and/or providing equipment financing to growth-oriented companies, instead preferring the risk-reward profile of traditional fixed asset-based lending. We believe traditional lenders generally do not have flexible product offerings that meet the needs of growth-oriented companies. The financing products offered by traditional lenders typically impose restrictive covenants and conditions on borrowers, including limiting cash outflows and requiring a significant depository relationship to facilitate rapid liquidation.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Unfulfilled Demand for Loans and Equipment Financings to Growth-Oriented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Private capital in the form of loans and equipment financings from specialty finance companies continues to be an important source of funding for growth-oriented companies. We believe that the level of demand for loans and equipment financings is a function of the level of annual venture equity investment activity and can be as much as 20% to 30% of such investment activity. We believe this market is largely served by a handful of venture banks, with whom our products generally do not compete, and a relative few term lenders and lessors.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that demand for loans and equipment financings to growth-oriented companies is currently underserved, given the high level of activity in venture capital equity market for the growth-oriented companies in which we invest. We believe certain venture lending companies have begun to focus on larger investment opportunities, potentially creating additional opportunities for us in the near term. Our senior management team has seen a significant increase in the number of potential investment opportunities over the last 15 years.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Debt Investments with Warrants Complement Equity Financing from Venture Capital and Private Equity Funds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that growth-oriented companies and their financial sponsors will continue to view debt, including loans and equipment financings, as an attractive source of capital because it augments the capital provided by venture capital and private equity funds. We believe that our debt investments, including loans and equipment financings, will provide access to growth capital that otherwise may only be available through incremental equity investments by new or existing equity investors. As such, we intend to provide portfolio companies and their financial sponsors with an opportunity to diversify their capital sources. Generally, we believe many growth-oriented companies target a portion of their capital to be debt and equipment financing in an attempt to minimize ownership dilution to existing investors and company founders. In addition, because growth-oriented companies generally reach a more mature stage prior to reaching a liquidity event, we believe our investments could provide the capital needed to grow or recapitalize during the extended growth period sometimes required prior to liquidity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additional information regarding our market opportunity, see “Business” in the accompanying 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Investment Philosophy, Strategy and Process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lend money in the form of term loans and equipment financings and, to a lesser extent, working capital loans to growth-oriented companies. Investors may receive returns from three sources — the loan’s interest payments or equipment financing payments and the associated contractual fees; the final principal payment; and, contingent upon a successful change of control or initial public offering, proceeds from the equity positions or contingent exit fees obtained at loan or equipment financing origination.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primarily seek to invest in loans and equipment financings to growth-oriented companies that have generally completed product development and are in need of capital to fund revenue growth. We believe a lack of profitability often limits these companies’ ability to access traditional bank financing and our in-house engineering and operations experience allows us to better understand this risk and earn what we believe to be higher overall returns and better risk-adjusted returns than those associated with traditional bank loans. Leveraging the experience of our investment professionals, we seek to target companies at their growth-oriented stage of development and seek to identify financing opportunities ignored by the traditional direct lending community.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Subject to the requirements under the 1940 Act, which require that we invest at least 70% of our total assets in qualifying assets, we may also engage in other lending activities by investing in assets that are not qualifying assets under the requirements of the 1940 Act, including asset-backed lending, which may constitute up to 30% of our total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good candidates for loans and equipment financings appear in all business sectors. We are not limited to investing in any particular industry or geographic area and seek to invest in under-financed segments of the private credit markets. We believe in diversification and do not intend to specialize in any one sector. Our portfolio companies are selected from a wide range of industries, technologies and geographic regions. Since we focus on investing in portfolio companies alongside venture capital firms and technology banks, we anticipate that most of our opportunities will come from sectors that those sources finance. See “Business” in the accompanying prospectus for additional details.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principal executive offices are located at 1 N. 1st Street, Suite 302, Phoenix, Arizona 85004 and our telephone number is (480) 374-5350. Our corporate website is located at </w:t>
      </w:r>
      <w:r>
        <w:rPr>
          <w:rFonts w:ascii="Times New Roman PS Std;serif" w:hAnsi="Times New Roman PS Std;serif"/>
          <w:b w:val="false"/>
          <w:i/>
          <w:caps w:val="false"/>
          <w:smallCaps w:val="false"/>
          <w:sz w:val="20"/>
          <w:bdr w:val="single" w:sz="8" w:space="10" w:color="000000"/>
        </w:rPr>
        <w:t>www.trinitycapital.com</w:t>
      </w:r>
      <w:r>
        <w:rPr>
          <w:rFonts w:ascii="Times New Roman PS Std;serif" w:hAnsi="Times New Roman PS Std;serif"/>
          <w:b w:val="false"/>
          <w:i w:val="false"/>
          <w:caps w:val="false"/>
          <w:smallCaps w:val="false"/>
          <w:sz w:val="20"/>
          <w:bdr w:val="single" w:sz="8" w:space="10" w:color="000000"/>
        </w:rPr>
        <w:t>. We make available, free of charge, on our website our proxy statement, annual report on Form 10-K, quarterly reports on Form 10-Q, current reports on Form 8-K and amendments to those reports as soon as reasonably practicable after we electronically file such material with, or furnish it to, the SEC. Information on our website is not incorporated into or a part of this prospectus supplement or the accompanying 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Investing in our securities may be speculative and involves certain risks relating to our structure and our investment objective that you should consider before deciding whether to invest. See “Risk Factors” in this prospectus supplement and “Risk Factors” in the accompanying prospectus and in our Annual Report on Form 10-K for the fiscal year ended December 31, 2025 for a detailed discussion of material risks you should carefully consider before deciding to invest in our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5" w:name="T602"/>
      <w:bookmarkEnd w:id="5"/>
      <w:r>
        <w:rPr>
          <w:rFonts w:ascii="Times New Roman PS Std;serif" w:hAnsi="Times New Roman PS Std;serif"/>
          <w:b/>
          <w:i w:val="false"/>
          <w:caps w:val="false"/>
          <w:smallCaps w:val="false"/>
          <w:sz w:val="20"/>
          <w:bdr w:val="single" w:sz="8" w:space="10" w:color="000000"/>
        </w:rPr>
        <w:t xml:space="preserve">SPECIFIC TERMS OF THE NOTES AND THE OFFERING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This section outlines certain legal and financial terms of the Notes. You should read this section together with the more detailed description of the Notes under the heading “Description of the Notes” in this prospectus supplement and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 as amended from time to time, the “indenture”.</w:t>
      </w:r>
    </w:p>
    <w:tbl>
      <w:tblPr>
        <w:tblW w:w="10205" w:type="dxa"/>
        <w:jc w:val="left"/>
        <w:tblInd w:w="0" w:type="dxa"/>
        <w:tblLayout w:type="fixed"/>
        <w:tblCellMar>
          <w:top w:w="0" w:type="dxa"/>
          <w:left w:w="0" w:type="dxa"/>
          <w:bottom w:w="0" w:type="dxa"/>
          <w:right w:w="0" w:type="dxa"/>
        </w:tblCellMar>
      </w:tblPr>
      <w:tblGrid>
        <w:gridCol w:w="1177"/>
        <w:gridCol w:w="146"/>
        <w:gridCol w:w="8882"/>
      </w:tblGrid>
      <w:tr>
        <w:trPr/>
        <w:tc>
          <w:tcPr>
            <w:tcW w:w="11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Issuer</w:t>
            </w:r>
          </w:p>
        </w:tc>
        <w:tc>
          <w:tcPr>
            <w:tcW w:w="146" w:type="dxa"/>
            <w:tcBorders/>
            <w:vAlign w:val="bottom"/>
          </w:tcPr>
          <w:p>
            <w:pPr>
              <w:pStyle w:val="TableContents"/>
              <w:bidi w:val="0"/>
              <w:spacing w:before="0" w:after="283"/>
              <w:jc w:val="left"/>
              <w:rPr/>
            </w:pPr>
            <w:r>
              <w:rPr/>
              <w:t> </w:t>
            </w:r>
          </w:p>
        </w:tc>
        <w:tc>
          <w:tcPr>
            <w:tcW w:w="8882"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Trinity Capital Inc., a Maryland corporation</w:t>
            </w:r>
          </w:p>
        </w:tc>
      </w:tr>
      <w:tr>
        <w:trPr/>
        <w:tc>
          <w:tcPr>
            <w:tcW w:w="1177"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of the Securities</w:t>
            </w:r>
          </w:p>
        </w:tc>
        <w:tc>
          <w:tcPr>
            <w:tcW w:w="146" w:type="dxa"/>
            <w:tcBorders/>
            <w:vAlign w:val="bottom"/>
          </w:tcPr>
          <w:p>
            <w:pPr>
              <w:pStyle w:val="TableContents"/>
              <w:bidi w:val="0"/>
              <w:spacing w:before="0" w:after="283"/>
              <w:jc w:val="left"/>
              <w:rPr/>
            </w:pPr>
            <w:r>
              <w:rPr/>
              <w:t> </w:t>
            </w:r>
          </w:p>
        </w:tc>
        <w:tc>
          <w:tcPr>
            <w:tcW w:w="8882"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 % Notes due</w:t>
            </w:r>
          </w:p>
        </w:tc>
      </w:tr>
      <w:tr>
        <w:trPr/>
        <w:tc>
          <w:tcPr>
            <w:tcW w:w="1177"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Aggregate Principal Amount Being Offered</w:t>
            </w:r>
          </w:p>
        </w:tc>
        <w:tc>
          <w:tcPr>
            <w:tcW w:w="146" w:type="dxa"/>
            <w:tcBorders/>
            <w:vAlign w:val="bottom"/>
          </w:tcPr>
          <w:p>
            <w:pPr>
              <w:pStyle w:val="TableContents"/>
              <w:bidi w:val="0"/>
              <w:spacing w:before="0" w:after="283"/>
              <w:jc w:val="left"/>
              <w:rPr/>
            </w:pPr>
            <w:r>
              <w:rPr/>
              <w:t> </w:t>
            </w:r>
          </w:p>
        </w:tc>
        <w:tc>
          <w:tcPr>
            <w:tcW w:w="8882"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 $</w:t>
            </w:r>
          </w:p>
        </w:tc>
      </w:tr>
      <w:tr>
        <w:trPr/>
        <w:tc>
          <w:tcPr>
            <w:tcW w:w="1177"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Public Offering Price</w:t>
            </w:r>
          </w:p>
        </w:tc>
        <w:tc>
          <w:tcPr>
            <w:tcW w:w="146" w:type="dxa"/>
            <w:tcBorders/>
            <w:vAlign w:val="bottom"/>
          </w:tcPr>
          <w:p>
            <w:pPr>
              <w:pStyle w:val="TableContents"/>
              <w:bidi w:val="0"/>
              <w:spacing w:before="0" w:after="283"/>
              <w:jc w:val="left"/>
              <w:rPr/>
            </w:pPr>
            <w:r>
              <w:rPr/>
              <w:t> </w:t>
            </w:r>
          </w:p>
        </w:tc>
        <w:tc>
          <w:tcPr>
            <w:tcW w:w="8882"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 % of the aggregate principal amount of Notes</w:t>
            </w:r>
          </w:p>
        </w:tc>
      </w:tr>
      <w:tr>
        <w:trPr/>
        <w:tc>
          <w:tcPr>
            <w:tcW w:w="1177"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Rate</w:t>
            </w:r>
          </w:p>
        </w:tc>
        <w:tc>
          <w:tcPr>
            <w:tcW w:w="146" w:type="dxa"/>
            <w:tcBorders/>
            <w:vAlign w:val="bottom"/>
          </w:tcPr>
          <w:p>
            <w:pPr>
              <w:pStyle w:val="TableContents"/>
              <w:bidi w:val="0"/>
              <w:spacing w:before="0" w:after="283"/>
              <w:jc w:val="left"/>
              <w:rPr/>
            </w:pPr>
            <w:r>
              <w:rPr/>
              <w:t> </w:t>
            </w:r>
          </w:p>
        </w:tc>
        <w:tc>
          <w:tcPr>
            <w:tcW w:w="8882"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 %</w:t>
            </w:r>
          </w:p>
        </w:tc>
      </w:tr>
      <w:tr>
        <w:trPr/>
        <w:tc>
          <w:tcPr>
            <w:tcW w:w="1177"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Yield to Maturity</w:t>
            </w:r>
          </w:p>
        </w:tc>
        <w:tc>
          <w:tcPr>
            <w:tcW w:w="146" w:type="dxa"/>
            <w:tcBorders/>
            <w:vAlign w:val="bottom"/>
          </w:tcPr>
          <w:p>
            <w:pPr>
              <w:pStyle w:val="TableContents"/>
              <w:bidi w:val="0"/>
              <w:spacing w:before="0" w:after="283"/>
              <w:jc w:val="left"/>
              <w:rPr/>
            </w:pPr>
            <w:r>
              <w:rPr/>
              <w:t> </w:t>
            </w:r>
          </w:p>
        </w:tc>
        <w:tc>
          <w:tcPr>
            <w:tcW w:w="8882"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 %</w:t>
            </w:r>
          </w:p>
        </w:tc>
      </w:tr>
      <w:tr>
        <w:trPr/>
        <w:tc>
          <w:tcPr>
            <w:tcW w:w="1177"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Date</w:t>
            </w:r>
          </w:p>
        </w:tc>
        <w:tc>
          <w:tcPr>
            <w:tcW w:w="146" w:type="dxa"/>
            <w:tcBorders/>
            <w:vAlign w:val="bottom"/>
          </w:tcPr>
          <w:p>
            <w:pPr>
              <w:pStyle w:val="TableContents"/>
              <w:bidi w:val="0"/>
              <w:spacing w:before="0" w:after="283"/>
              <w:jc w:val="left"/>
              <w:rPr/>
            </w:pPr>
            <w:r>
              <w:rPr/>
              <w:t> </w:t>
            </w:r>
          </w:p>
        </w:tc>
        <w:tc>
          <w:tcPr>
            <w:tcW w:w="8882"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September___________ , 2026</w:t>
            </w:r>
          </w:p>
        </w:tc>
      </w:tr>
      <w:tr>
        <w:trPr/>
        <w:tc>
          <w:tcPr>
            <w:tcW w:w="1177"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Date</w:t>
            </w:r>
          </w:p>
        </w:tc>
        <w:tc>
          <w:tcPr>
            <w:tcW w:w="146" w:type="dxa"/>
            <w:tcBorders/>
            <w:vAlign w:val="bottom"/>
          </w:tcPr>
          <w:p>
            <w:pPr>
              <w:pStyle w:val="TableContents"/>
              <w:bidi w:val="0"/>
              <w:spacing w:before="0" w:after="283"/>
              <w:jc w:val="left"/>
              <w:rPr/>
            </w:pPr>
            <w:r>
              <w:rPr/>
              <w:t> </w:t>
            </w:r>
          </w:p>
        </w:tc>
        <w:tc>
          <w:tcPr>
            <w:tcW w:w="8882"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September___________ , 2026</w:t>
            </w:r>
          </w:p>
        </w:tc>
      </w:tr>
      <w:tr>
        <w:trPr/>
        <w:tc>
          <w:tcPr>
            <w:tcW w:w="1177"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Maturity Date</w:t>
            </w:r>
          </w:p>
        </w:tc>
        <w:tc>
          <w:tcPr>
            <w:tcW w:w="146" w:type="dxa"/>
            <w:tcBorders/>
            <w:vAlign w:val="bottom"/>
          </w:tcPr>
          <w:p>
            <w:pPr>
              <w:pStyle w:val="TableContents"/>
              <w:bidi w:val="0"/>
              <w:spacing w:before="0" w:after="283"/>
              <w:jc w:val="left"/>
              <w:rPr/>
            </w:pPr>
            <w:r>
              <w:rPr/>
              <w:t> </w:t>
            </w:r>
          </w:p>
        </w:tc>
        <w:tc>
          <w:tcPr>
            <w:tcW w:w="8882"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 ,</w:t>
            </w:r>
          </w:p>
        </w:tc>
      </w:tr>
      <w:tr>
        <w:trPr/>
        <w:tc>
          <w:tcPr>
            <w:tcW w:w="117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Payment Dates</w:t>
            </w:r>
          </w:p>
        </w:tc>
        <w:tc>
          <w:tcPr>
            <w:tcW w:w="146" w:type="dxa"/>
            <w:tcBorders/>
          </w:tcPr>
          <w:p>
            <w:pPr>
              <w:pStyle w:val="TableContents"/>
              <w:bidi w:val="0"/>
              <w:spacing w:before="0" w:after="283"/>
              <w:jc w:val="left"/>
              <w:rPr/>
            </w:pPr>
            <w:r>
              <w:rPr/>
              <w:t> </w:t>
            </w:r>
          </w:p>
        </w:tc>
        <w:tc>
          <w:tcPr>
            <w:tcW w:w="8882"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 and ___________ , commencing ___________ , 20 . If an interest payment date falls on a non-business day, the applicable interest payment will be made on the next business day and no additional interest will accrue as a result of such delayed payment.</w:t>
            </w:r>
          </w:p>
        </w:tc>
      </w:tr>
      <w:tr>
        <w:trPr/>
        <w:tc>
          <w:tcPr>
            <w:tcW w:w="1177"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Regular Record Dates </w:t>
              <w:br/>
              <w:t>for Interest</w:t>
            </w:r>
          </w:p>
        </w:tc>
        <w:tc>
          <w:tcPr>
            <w:tcW w:w="146" w:type="dxa"/>
            <w:tcBorders/>
            <w:vAlign w:val="bottom"/>
          </w:tcPr>
          <w:p>
            <w:pPr>
              <w:pStyle w:val="TableContents"/>
              <w:bidi w:val="0"/>
              <w:spacing w:before="0" w:after="283"/>
              <w:jc w:val="left"/>
              <w:rPr/>
            </w:pPr>
            <w:r>
              <w:rPr/>
              <w:t> </w:t>
            </w:r>
          </w:p>
        </w:tc>
        <w:tc>
          <w:tcPr>
            <w:tcW w:w="8882"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Each___________ and</w:t>
            </w:r>
          </w:p>
        </w:tc>
      </w:tr>
      <w:tr>
        <w:trPr/>
        <w:tc>
          <w:tcPr>
            <w:tcW w:w="117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Ranking of Notes</w:t>
            </w:r>
          </w:p>
        </w:tc>
        <w:tc>
          <w:tcPr>
            <w:tcW w:w="146" w:type="dxa"/>
            <w:tcBorders/>
          </w:tcPr>
          <w:p>
            <w:pPr>
              <w:pStyle w:val="TableContents"/>
              <w:bidi w:val="0"/>
              <w:spacing w:before="0" w:after="283"/>
              <w:jc w:val="left"/>
              <w:rPr/>
            </w:pPr>
            <w:r>
              <w:rPr/>
              <w:t> </w:t>
            </w:r>
          </w:p>
        </w:tc>
        <w:tc>
          <w:tcPr>
            <w:tcW w:w="8882"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be our direct, general unsecured obligations and will rank:</w:t>
            </w:r>
          </w:p>
          <w:p>
            <w:pPr>
              <w:pStyle w:val="TableContents"/>
              <w:keepNext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senior in right of payment to all of our future indebtedness or other obligations that are expressly subordinated, or junior, in right of payment to the Notes;</w:t>
            </w:r>
          </w:p>
          <w:p>
            <w:pPr>
              <w:pStyle w:val="TableContents"/>
              <w:keepNext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or equal, in right of payment with all of our existing and future indebtedness or other obligations that are not so subordinated, or junior, including, without limitation, the 4.25% Notes due 2026 (the “December 2026 Notes”), of which $75.0 million in aggregate principal amount was outstanding as of September 22, 2026; the 7.875% Notes due March 2029 (the “March 2029 Notes”), of which $142.2 million in aggregate principal amount was outstanding as of September 22, 2026; the 7.875% Notes due September 2029 (the “September 2029 Notes”), of which $122.2 million in aggregate principal amount was outstanding as of September 22, 2026; the Series A Senior Notes (the “Series A Notes”), of which $142.5 million in aggregate principal amount was outstanding as of September 22, 2026; the 6.750% Notes due 2030 (the “July 2030 Notes”), of which $125.0 million in aggregate principal amount was outstanding as of September 22, 2026; and the 7.000% Notes due May 2031 (the “May 2031 Notes” together with the December 2026 Notes, the March 2029 Notes, the September 2029 Notes, the Series A Notes, and the July 2030 Notes, the “Existing Notes”), of which $300.0 million in aggregate principal amount was outstanding as of September 22, 2026. The aggregate principal amount outstanding under the Existing Notes as of September 22, 2026 was $906.9 million;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673"/>
        <w:gridCol w:w="146"/>
        <w:gridCol w:w="8386"/>
      </w:tblGrid>
      <w:tr>
        <w:trPr/>
        <w:tc>
          <w:tcPr>
            <w:tcW w:w="167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386" w:type="dxa"/>
            <w:tcBorders/>
            <w:vAlign w:val="bottom"/>
          </w:tcPr>
          <w:p>
            <w:pPr>
              <w:pStyle w:val="TableContents"/>
              <w:keepNext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effectively subordinated, or junior, to any of our existing and future secured indebtedness or other obligations (including unsecured indebtedness that we later secure) to the extent of the value of the assets securing such indebtedness; and</w:t>
            </w:r>
          </w:p>
          <w:p>
            <w:pPr>
              <w:pStyle w:val="TableContents"/>
              <w:keepNext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structurally subordinated, or junior, to all existing and future indebtedness and other obligations (including trade payables) incurred by our subsidiaries, financing vehicles or similar facilities, including, without limitation, borrowings under TrinCap Funding, LLC’s, our wholly owned subsidiary (“TCF”), credit facility with KeyBank, National Association (as amended, the “KeyBank Credit Facility”), of which approximately $495.7 million was outstanding as of September 22, 2026, and which borrowings are secured by the assets of our wholly-owned subsidiary, TCF, and borrowings under TrinCap Term Funding, LLC’s, our wholly owned subsidiary (“TF3”), secured term loan facility with KeyBank (as amended, the “KeyBank Secured Term Loan Facility”), of which approximately $174.9 million was outstanding as of September 22, 2026, and which borrowings are secured by the assets of our wholly-owned subsidiary, TF3.</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our asset coverage ratio was approximately 183.7%.</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22, 2026, on a consolidated basis, we had approximately $1,577.5 million of total indebtedness outstanding, $495.7 million of which was secured indebtedness of our wholly-owned subsidiary, TCF, under the KeyBank Credit Facility, $174.9 million of which was secured indebtedness of our wholly-owned subsidiary, TF3, under the KeyBank Secured Term Loan Facility, and $906.9 million of which was unsecured indebtedness. Such unsecured indebtedness reflects the outstanding aggregate principal amount of the Existing Notes.</w:t>
            </w:r>
          </w:p>
        </w:tc>
      </w:tr>
      <w:tr>
        <w:trPr/>
        <w:tc>
          <w:tcPr>
            <w:tcW w:w="167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Denominations</w:t>
            </w:r>
          </w:p>
        </w:tc>
        <w:tc>
          <w:tcPr>
            <w:tcW w:w="146" w:type="dxa"/>
            <w:tcBorders/>
          </w:tcPr>
          <w:p>
            <w:pPr>
              <w:pStyle w:val="TableContents"/>
              <w:bidi w:val="0"/>
              <w:spacing w:before="0" w:after="283"/>
              <w:jc w:val="left"/>
              <w:rPr/>
            </w:pPr>
            <w:r>
              <w:rPr/>
              <w:t> </w:t>
            </w:r>
          </w:p>
        </w:tc>
        <w:tc>
          <w:tcPr>
            <w:tcW w:w="838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issue the Notes in minimum denominations of $2,000 and integral multiples of $1,000 in excess thereof.</w:t>
            </w:r>
          </w:p>
        </w:tc>
      </w:tr>
      <w:tr>
        <w:trPr/>
        <w:tc>
          <w:tcPr>
            <w:tcW w:w="167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Optional Redemption</w:t>
            </w:r>
          </w:p>
        </w:tc>
        <w:tc>
          <w:tcPr>
            <w:tcW w:w="146" w:type="dxa"/>
            <w:tcBorders/>
          </w:tcPr>
          <w:p>
            <w:pPr>
              <w:pStyle w:val="TableContents"/>
              <w:bidi w:val="0"/>
              <w:spacing w:before="0" w:after="283"/>
              <w:jc w:val="left"/>
              <w:rPr/>
            </w:pPr>
            <w:r>
              <w:rPr/>
              <w:t> </w:t>
            </w:r>
          </w:p>
        </w:tc>
        <w:tc>
          <w:tcPr>
            <w:tcW w:w="838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             (             month(s) prior to the maturity date of the Notes) (the “Par Call Date”), we may redeem the Notes at our option, in whole or in part, at any time and from time to time, at a redemption price equal to the greater of (1)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basis points less (b) interest accrued to the date of redemption, or (2) 100% of the principal amount of the Notes to be redeemed, plus, in either case accrued and unpaid interest thereon to the redemption date of the Notes.</w:t>
            </w:r>
          </w:p>
        </w:tc>
      </w:tr>
      <w:tr>
        <w:trPr/>
        <w:tc>
          <w:tcPr>
            <w:tcW w:w="167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38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at any time on or after the Par Call Date, we may redeem some or all of the Notes at any time, or from time to time, at a redemption price equal to 100% of the principal amount of the Notes to be redeemed plus, in each case, accrued and unpaid interest, if any, to, but excluding, the redemption date of the Notes.</w:t>
            </w:r>
          </w:p>
        </w:tc>
      </w:tr>
      <w:tr>
        <w:trPr/>
        <w:tc>
          <w:tcPr>
            <w:tcW w:w="167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Sinking Fund</w:t>
            </w:r>
          </w:p>
        </w:tc>
        <w:tc>
          <w:tcPr>
            <w:tcW w:w="146" w:type="dxa"/>
            <w:tcBorders/>
          </w:tcPr>
          <w:p>
            <w:pPr>
              <w:pStyle w:val="TableContents"/>
              <w:bidi w:val="0"/>
              <w:spacing w:before="0" w:after="283"/>
              <w:jc w:val="left"/>
              <w:rPr/>
            </w:pPr>
            <w:r>
              <w:rPr/>
              <w:t> </w:t>
            </w:r>
          </w:p>
        </w:tc>
        <w:tc>
          <w:tcPr>
            <w:tcW w:w="838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not be subject to any sinking fund. A sinking fund is a reserve fund accumulated over a period of time for the retirement of debt.</w:t>
            </w:r>
          </w:p>
        </w:tc>
      </w:tr>
      <w:tr>
        <w:trPr/>
        <w:tc>
          <w:tcPr>
            <w:tcW w:w="167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 to Purchase upon a Change of Control Repurchase Event</w:t>
            </w:r>
          </w:p>
        </w:tc>
        <w:tc>
          <w:tcPr>
            <w:tcW w:w="146" w:type="dxa"/>
            <w:tcBorders/>
          </w:tcPr>
          <w:p>
            <w:pPr>
              <w:pStyle w:val="TableContents"/>
              <w:bidi w:val="0"/>
              <w:spacing w:before="0" w:after="283"/>
              <w:jc w:val="left"/>
              <w:rPr/>
            </w:pPr>
            <w:r>
              <w:rPr/>
              <w:t> </w:t>
            </w:r>
          </w:p>
        </w:tc>
        <w:tc>
          <w:tcPr>
            <w:tcW w:w="838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If a Change of Control Repurchase Event occurs prior to maturity, unless we have exercised our right to redeem the Notes in full, holders will have the right, at their option, to require us to repurchase for cash some or all of the Notes at a repurchase price equal to 100% of the principal amount of the Notes being repurchased, plus accrued and unpaid interest to, but not including, the repurchase date.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03"/>
        <w:gridCol w:w="146"/>
        <w:gridCol w:w="8856"/>
      </w:tblGrid>
      <w:tr>
        <w:trPr/>
        <w:tc>
          <w:tcPr>
            <w:tcW w:w="120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Defeasance</w:t>
            </w:r>
          </w:p>
        </w:tc>
        <w:tc>
          <w:tcPr>
            <w:tcW w:w="146" w:type="dxa"/>
            <w:tcBorders/>
          </w:tcPr>
          <w:p>
            <w:pPr>
              <w:pStyle w:val="TableContents"/>
              <w:bidi w:val="0"/>
              <w:spacing w:before="0" w:after="283"/>
              <w:jc w:val="left"/>
              <w:rPr/>
            </w:pPr>
            <w:r>
              <w:rPr/>
              <w:t> </w:t>
            </w:r>
          </w:p>
        </w:tc>
        <w:tc>
          <w:tcPr>
            <w:tcW w:w="885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a change in U.S. tax law or we obtain an Internal Revenue Service ruling described herein, the Notes will be subject to legal defeasance by us, which means that, subject to the satisfaction of certain conditions, including, but not limited to, (i) depositing in trust for the benefit of the holders of the Notes a combination of money and U.S. government or U.S. government agency notes or bonds that will generate enough cash to make interest, principal and any other payments on the Notes on their various due dates and (ii) delivering to the Trustee an opinion of counsel as described herein under “</w:t>
            </w:r>
            <w:r>
              <w:rPr>
                <w:rFonts w:ascii="Times New Roman PS Std;serif" w:hAnsi="Times New Roman PS Std;serif"/>
                <w:b w:val="false"/>
                <w:i/>
                <w:caps w:val="false"/>
                <w:smallCaps w:val="false"/>
                <w:sz w:val="20"/>
              </w:rPr>
              <w:t>Description of the Notes — Defeasance — Legal Defeasance</w:t>
            </w:r>
            <w:r>
              <w:rPr>
                <w:rFonts w:ascii="Times New Roman PS Std;serif" w:hAnsi="Times New Roman PS Std;serif"/>
                <w:b w:val="false"/>
                <w:i w:val="false"/>
                <w:caps w:val="false"/>
                <w:smallCaps w:val="false"/>
                <w:sz w:val="20"/>
              </w:rPr>
              <w:t>”, we can legally release ourselves from all payment and other obligations on the Notes.</w:t>
            </w:r>
          </w:p>
        </w:tc>
      </w:tr>
      <w:tr>
        <w:trPr/>
        <w:tc>
          <w:tcPr>
            <w:tcW w:w="120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Covenant Defeasance</w:t>
            </w:r>
          </w:p>
        </w:tc>
        <w:tc>
          <w:tcPr>
            <w:tcW w:w="146" w:type="dxa"/>
            <w:tcBorders/>
          </w:tcPr>
          <w:p>
            <w:pPr>
              <w:pStyle w:val="TableContents"/>
              <w:bidi w:val="0"/>
              <w:spacing w:before="0" w:after="283"/>
              <w:jc w:val="left"/>
              <w:rPr/>
            </w:pPr>
            <w:r>
              <w:rPr/>
              <w:t> </w:t>
            </w:r>
          </w:p>
        </w:tc>
        <w:tc>
          <w:tcPr>
            <w:tcW w:w="885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are subject to covenant defeasance by us, which means that, subject to the satisfaction of certain conditions, including, but not limited to, (i) depositing in trust for the benefit of the holders of the Notes a combination of money and U.S. government or U.S. government agency notes or bonds that will generate enough cash to make interest, principal and any other payments on the Notes on their various due dates and (ii) delivering to the Trustee an opinion of counsel as described herein under “</w:t>
            </w:r>
            <w:r>
              <w:rPr>
                <w:rFonts w:ascii="Times New Roman PS Std;serif" w:hAnsi="Times New Roman PS Std;serif"/>
                <w:b w:val="false"/>
                <w:i/>
                <w:caps w:val="false"/>
                <w:smallCaps w:val="false"/>
                <w:sz w:val="20"/>
              </w:rPr>
              <w:t>Description of the Notes — Defeasance — Covenant Defeasance</w:t>
            </w:r>
            <w:r>
              <w:rPr>
                <w:rFonts w:ascii="Times New Roman PS Std;serif" w:hAnsi="Times New Roman PS Std;serif"/>
                <w:b w:val="false"/>
                <w:i w:val="false"/>
                <w:caps w:val="false"/>
                <w:smallCaps w:val="false"/>
                <w:sz w:val="20"/>
              </w:rPr>
              <w:t>”, we will be released from some of the restrictive covenants in the indenture.</w:t>
            </w:r>
          </w:p>
        </w:tc>
      </w:tr>
      <w:tr>
        <w:trPr/>
        <w:tc>
          <w:tcPr>
            <w:tcW w:w="120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Notes</w:t>
            </w:r>
          </w:p>
        </w:tc>
        <w:tc>
          <w:tcPr>
            <w:tcW w:w="146" w:type="dxa"/>
            <w:tcBorders/>
          </w:tcPr>
          <w:p>
            <w:pPr>
              <w:pStyle w:val="TableContents"/>
              <w:bidi w:val="0"/>
              <w:spacing w:before="0" w:after="283"/>
              <w:jc w:val="left"/>
              <w:rPr/>
            </w:pPr>
            <w:r>
              <w:rPr/>
              <w:t> </w:t>
            </w:r>
          </w:p>
        </w:tc>
        <w:tc>
          <w:tcPr>
            <w:tcW w:w="885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be represented by global securities that will be deposited and registered in the name of The Depository Trust Company, or DTC, or its nominee. This means that, except in limited circumstances, you will not receive certificates for the Notes. Beneficial interests in the Notes will be represented through book-entry accounts of financial institutions acting on behalf of beneficial owners as direct and indirect participants in DTC. Investors may elect to hold interests in the Notes through either DTC, if they are a participant, or indirectly through organizations that are participants in DTC.</w:t>
            </w:r>
          </w:p>
        </w:tc>
      </w:tr>
      <w:tr>
        <w:trPr/>
        <w:tc>
          <w:tcPr>
            <w:tcW w:w="1203"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Trustee, Paying Agent and </w:t>
              <w:br/>
              <w:t>Registrar</w:t>
            </w:r>
          </w:p>
        </w:tc>
        <w:tc>
          <w:tcPr>
            <w:tcW w:w="146" w:type="dxa"/>
            <w:tcBorders/>
            <w:vAlign w:val="bottom"/>
          </w:tcPr>
          <w:p>
            <w:pPr>
              <w:pStyle w:val="TableContents"/>
              <w:bidi w:val="0"/>
              <w:spacing w:before="0" w:after="283"/>
              <w:jc w:val="left"/>
              <w:rPr/>
            </w:pPr>
            <w:r>
              <w:rPr/>
              <w:t> </w:t>
            </w:r>
          </w:p>
        </w:tc>
        <w:tc>
          <w:tcPr>
            <w:tcW w:w="885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Bank Trust Company, National Association</w:t>
            </w:r>
          </w:p>
        </w:tc>
      </w:tr>
      <w:tr>
        <w:trPr/>
        <w:tc>
          <w:tcPr>
            <w:tcW w:w="120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Events of Default</w:t>
            </w:r>
          </w:p>
        </w:tc>
        <w:tc>
          <w:tcPr>
            <w:tcW w:w="146" w:type="dxa"/>
            <w:tcBorders/>
          </w:tcPr>
          <w:p>
            <w:pPr>
              <w:pStyle w:val="TableContents"/>
              <w:bidi w:val="0"/>
              <w:spacing w:before="0" w:after="283"/>
              <w:jc w:val="left"/>
              <w:rPr/>
            </w:pPr>
            <w:r>
              <w:rPr/>
              <w:t> </w:t>
            </w:r>
          </w:p>
        </w:tc>
        <w:tc>
          <w:tcPr>
            <w:tcW w:w="885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event of default (as described herein under “</w:t>
            </w:r>
            <w:r>
              <w:rPr>
                <w:rFonts w:ascii="Times New Roman PS Std;serif" w:hAnsi="Times New Roman PS Std;serif"/>
                <w:b w:val="false"/>
                <w:i/>
                <w:caps w:val="false"/>
                <w:smallCaps w:val="false"/>
                <w:sz w:val="20"/>
              </w:rPr>
              <w:t>Description of the Notes</w:t>
            </w:r>
            <w:r>
              <w:rPr>
                <w:rFonts w:ascii="Times New Roman PS Std;serif" w:hAnsi="Times New Roman PS Std;serif"/>
                <w:b w:val="false"/>
                <w:i w:val="false"/>
                <w:caps w:val="false"/>
                <w:smallCaps w:val="false"/>
                <w:sz w:val="20"/>
              </w:rPr>
              <w:t>”) on the Notes occurs, the principal amount of the Notes, plus accrued and unpaid interest, may be declared immediately due and payable, subject to conditions set forth in the indenture. These amounts automatically become due and payable in the case of certain types of bankruptcy or insolvency events involving us.</w:t>
            </w:r>
          </w:p>
        </w:tc>
      </w:tr>
      <w:tr>
        <w:trPr/>
        <w:tc>
          <w:tcPr>
            <w:tcW w:w="120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Covenants</w:t>
            </w:r>
          </w:p>
        </w:tc>
        <w:tc>
          <w:tcPr>
            <w:tcW w:w="146" w:type="dxa"/>
            <w:tcBorders/>
          </w:tcPr>
          <w:p>
            <w:pPr>
              <w:pStyle w:val="TableContents"/>
              <w:bidi w:val="0"/>
              <w:spacing w:before="0" w:after="283"/>
              <w:jc w:val="left"/>
              <w:rPr/>
            </w:pPr>
            <w:r>
              <w:rPr/>
              <w:t> </w:t>
            </w:r>
          </w:p>
        </w:tc>
        <w:tc>
          <w:tcPr>
            <w:tcW w:w="885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covenants described under “Description of the Notes — Covenants,” the following covenants shall apply to the Notes:</w:t>
            </w:r>
          </w:p>
          <w:p>
            <w:pPr>
              <w:pStyle w:val="TableContents"/>
              <w:keepNext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pStyle w:val="TableContents"/>
              <w:keepNext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at any time, we are not subject to the reporting requirements of Sections 13 or 15(d) of the Securities Exchange Act of 1934, as amended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United States generally accepted accounting principles, or GAAP.</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64"/>
        <w:gridCol w:w="146"/>
        <w:gridCol w:w="8795"/>
      </w:tblGrid>
      <w:tr>
        <w:trPr/>
        <w:tc>
          <w:tcPr>
            <w:tcW w:w="126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Established Trading Market</w:t>
            </w:r>
          </w:p>
        </w:tc>
        <w:tc>
          <w:tcPr>
            <w:tcW w:w="146" w:type="dxa"/>
            <w:tcBorders/>
          </w:tcPr>
          <w:p>
            <w:pPr>
              <w:pStyle w:val="TableContents"/>
              <w:bidi w:val="0"/>
              <w:spacing w:before="0" w:after="283"/>
              <w:jc w:val="left"/>
              <w:rPr/>
            </w:pPr>
            <w:r>
              <w:rPr/>
              <w:t> </w:t>
            </w:r>
          </w:p>
        </w:tc>
        <w:tc>
          <w:tcPr>
            <w:tcW w:w="879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are a new issue of securities with no established trading market. The Notes will not be listed on any securities exchange or quoted on any automated dealer quotation system. Although certain of the underwriters have informed us that they currently intend to make a market in the Notes, as permitted by applicable laws and regulations, they are not obligated to do so and may discontinue any such market making activities at any time without notice. See “Underwriting” in this prospectus supplement. Accordingly, we cannot assure you that a liquid market for the Notes will develop or be maintained.</w:t>
            </w:r>
          </w:p>
        </w:tc>
      </w:tr>
      <w:tr>
        <w:trPr/>
        <w:tc>
          <w:tcPr>
            <w:tcW w:w="126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87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net proceeds we will receive from this offering will be approximately $___________ million, based on an offering price of            % per Note, after deducting the underwriting discounts, and estimated offering expenses of approximately $ ___________ payable by us. Such estimate is subject to change and no assurances can be given that actual expenses will not exceed such amount. We expect to use the net proceeds from this offering to pay down a portion of our existing indebtedness outstanding under the KeyBank Credit Facility and for general corporate purposes. See “Use of Proceeds” in this prospectus supplement.</w:t>
            </w:r>
          </w:p>
        </w:tc>
      </w:tr>
      <w:tr>
        <w:trPr/>
        <w:tc>
          <w:tcPr>
            <w:tcW w:w="126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Global Clearance and </w:t>
              <w:br/>
              <w:t>Settlement Procedures</w:t>
            </w:r>
          </w:p>
        </w:tc>
        <w:tc>
          <w:tcPr>
            <w:tcW w:w="146" w:type="dxa"/>
            <w:tcBorders/>
          </w:tcPr>
          <w:p>
            <w:pPr>
              <w:pStyle w:val="TableContents"/>
              <w:bidi w:val="0"/>
              <w:spacing w:before="0" w:after="283"/>
              <w:jc w:val="left"/>
              <w:rPr/>
            </w:pPr>
            <w:r>
              <w:rPr/>
              <w:t> </w:t>
            </w:r>
          </w:p>
        </w:tc>
        <w:tc>
          <w:tcPr>
            <w:tcW w:w="87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Interests in the Notes will trade in DTC’s Same Day Funds Settlement System, and any permitted secondary market trading activity in such Notes will, therefore, be required by DTC to be settled in immediately available funds. None of the Company, the trustee or the paying agent will have any responsibility or liability for the performance by DTC or its participants or indirect participants of their respective obligations under the rules and procedures governing their operations.</w:t>
            </w:r>
          </w:p>
        </w:tc>
      </w:tr>
      <w:tr>
        <w:trPr/>
        <w:tc>
          <w:tcPr>
            <w:tcW w:w="126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w:t>
            </w:r>
          </w:p>
        </w:tc>
        <w:tc>
          <w:tcPr>
            <w:tcW w:w="146" w:type="dxa"/>
            <w:tcBorders/>
          </w:tcPr>
          <w:p>
            <w:pPr>
              <w:pStyle w:val="TableContents"/>
              <w:bidi w:val="0"/>
              <w:spacing w:before="0" w:after="283"/>
              <w:jc w:val="left"/>
              <w:rPr/>
            </w:pPr>
            <w:r>
              <w:rPr/>
              <w:t> </w:t>
            </w:r>
          </w:p>
        </w:tc>
        <w:tc>
          <w:tcPr>
            <w:tcW w:w="87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and the indenture will be governed by and construed in accordance with the laws of the State of New York.</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603"/>
      <w:bookmarkEnd w:id="6"/>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Investing in the Notes involves a number of significant risks. Before you invest in the Notes, you should be aware of various risks associated with the investment, including those described in the section titled “Risk Factors” in our Annual Report on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 the fiscal year ended December 31, 2025, as well as in subsequent filings with the SEC, which are incorporated by reference into this prospectus supplement and the accompanying prospectus in their entirety, together with other information in this prospectus supplement, the accompanying prospectus, any document incorporated by reference herein or therein, and/or any free writing prospectus we may authorize in connection with this offering. You should carefully consider these risk factors, together with all of the other information included or incorporated by reference in this prospectus supplement and the accompanying prospectus, before you decide whether to make an investment in the Notes. The risks set out in this prospectus supplement, the accompanying prospectus, any document incorporated by reference herein or therein, and any free writing prospectus we may authorize in connection with this offering are not the only risks we face. Additional risks and uncertainties not presently known to us or not presently deemed material by us may also impair our operations and performance. If any of the following events or those described in such documents occur, our business, financial condition and results of operations could be materially and adversely affected. In such case, you may lose all or part of your investment. Please also read carefully “Special Note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in this prospectus supplement and refer to “Incorporation of Certain Information by Reference” in this prospectus supplement for the documents incorporated herein by reference.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Notes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Notes are unsecured and therefore are effectively subordinated to any secured indebtedness we have currently incurred or may incur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Notes are not secured by any of our assets or any of the assets of our subsidiaries. As a result, the Notes are effectively subordinated, or junior, to any secured indebtedness or other obligations we or our subsidiaries have currently incurred, including the KeyBank Credit Facility and KeyBank Secured Term Loan Facility, and may incur in the future (or any indebtedness that is initially unsecured that we later secure)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September 22, 2026, on a consolidated basis, we had approximately $1,577.5 million of total indebtedness outstanding, $495.7 million of which was secured indebtedness under the KeyBank Credit Facility through our wholly-owned subsidiary, TCF, and $174.9 million of which was secured indebtedness under the KeyBank Secured Term Loan Facility through our wholly-owned subsidiary, TF3, each of which will be effectively and/or structurally senior to the Notes. Secured indebtedness, including the indebtedness under the KeyBank Credit Facility and the KeyBank Secured Term Loan Facility, is effectively senior to the Notes to the extent of the value of such assets securing such indebtedness. In addition, as of September 22, 2026, we had $906.9 million in aggregate principal amount of the Existing Notes, which are unsecured and will rank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or equal in right of payment, with the Notes.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Notes are structurally subordinated to the indebtedness and other liabilities of our subsidiaries.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Notes are obligations exclusively of Trinity Capital Inc. and not of any of our subsidiaries. None of our subsidiaries are a guarantor of the Notes, and the Notes are not required to be guaranteed by any subsidiaries we may acquire or create in the future. Any assets of our subsidiaries will not be directly available to satisfy the claims of our creditors, including holders of the Notes. Except to the extent we are a creditor with recognized claims against our subsidiaries, all claims of creditors (including trade creditors) and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are structurally subordinated, or junior, to the KeyBank Credit Facility and the KeyBank Secured Term Loan Facility and all existing and future indebtedness and other obligations (including trade payables) incurred by any of our subsidiaries, financing vehicles or similar facilities and any subsidiaries, financing vehicles or similar facilities that we may in the future acquire or establish. As of September 22, 2026, through our wholly-owned subsidiary, TCF, we had approximately $495.7 million of indebtedness outstanding under the KeyBank Credit Facility, and through our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wholly-owned subsidiary, TF3, we had approximately $174.9 million of indebtedness outstanding under the KeyBank Secured Term Loan Facility; in addition, our subsidiaries may incur additional indebtedness in the future, all of which would be structurally senior to the Notes.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amount of debt outstanding may increase as a result of this offering. Our current indebtedness could adversely affect our business, financial condition and results of operations and our ability to meet our payment obligations under the Notes and our other debt.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use of debt could have significant consequences on our future operations,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making it more difficult for us to meet our payment and other obligations under the Notes and our other outstanding indebtedness;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resulting in an event of default if we fail to comply with the financial and other restrictive covenants contained in our debt agreements, which event of default could result in substantially all of our debt becoming immediately due and payable;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reducing the availability of our cash flow to fund investments, acquisitions and other general corporate purposes, and limiting our ability to obtain additional financing for these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subjecting us to the risk of increased sensitivity to interest rate increases on our indebtedness with variable interest rates;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our flexibility in planning for, or reacting to, and increasing our vulnerability to, changes in our business, the industry in which we operate and the general economy.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above-listed factors could have an adverse effect on our business, financial condition and results of operations and our ability to meet our payment obligations under the Notes and our other debt.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meet our payment and other obligations under our debt instruments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sufficient cash flow from operations or that future borrowings will be available to us under our financing arrangements or otherwise in an amount sufficient to enable us to pay our indebtedness, including the Notes, or to fund our other liquidity needs. We may need to refinance all or a portion of our indebtedness, including the Notes, on or before the scheduled maturity. The conditions of the financial markets and prevailing interest rates have fluctuated in the past and are likely to fluctuate in the future.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shareholders or on terms that would not require us to breach the terms and conditions of our existing or future debt agreements, including our payment obligations under the Notes.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downgrade, suspension or withdrawal of the credit rating assigned by a rating agency to us or the Notes, if any, or change in the debt markets, could cause the liquidity or market value of the Notes to decline significantly.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credit ratings are an assessment by rating agencies of our ability to pay our debts when due. Consequently, real or anticipated changes in our credit ratings will generally affect the market value of the Notes. These credit ratings, however, may not reflect the potential impact of risks related to the structure or marketing of the Notes, market conditions generally or other factors discussed herein that could impact the market value of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rating agencies base their ratings on such material and information, and such of their own investigations, studies and assumptions, as they deem appropriate. Any such credit ratings should be evaluated independently from similar ratings of other securities or companies.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There can be no assurance that any credit ratings assigned to us and/or the Notes, if any, will remain for any given period of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indenture offers limited protection to holders of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issue securities or otherwise incur additional indebtedness or other obligations, including (1) any indebtedness or other obligations that would be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or equal, in right of payment to the Notes, (2) any indebtedness or other obligations that would be secured and therefore rank effectively senior in right of payment to the Notes to the extent of the value of the assets securing such indebtedness, (3) indebtedness or other obligations of ours that are guaranteed by one or more of our subsidiaries and which therefore are structurally senior to the Notes and (4) securities, indebtedness or other obligations incurred by our subsidiaries that would be senior to our equity interests in our subsidiaries and therefore rank structurally senior to the Notes with respect to the assets of those subsidiaries, in each case other than an incurrence of indebtedness or other obligations that would cause a violation of Section 18(a)(1)(A) as modified by Section 61(a) of the 1940 Act or any successor provisions of the 1940 Act, but giving effect, in either case, to any exemptive relief granted to us by the SEC. Currently, these provisions generally prohibit us from incurring additional borrowings, including through the issuance of additional debt securities, unless our asset coverage, as defined in the 1940 Act, equals at least 150% after such borrowings;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pay dividends on, or purchase or redeem or make any payments in respect of, capital stock or other securities ranking junior in right of payment to the Notes, including subordinated indebtedness;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sell assets (other than certain limited restrictions on our ability to consolidate, merge or sell all or substantially all of our assets);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create liens (including liens on the shares of our subsidiaries) or enter into sale and leaseback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transactions with affiliates;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investments;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create restrictions on the payment of dividends or other amounts to us from our subsidiaries.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 to the extent such a trading market develops for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optional redemption provision may materially adversely affect your return on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are redeemable in whole or in part upon certain conditions at any time or from time to time at our option. We may choose to redeem the Notes at times when prevailing interest rates are lower than the interest rate paid on the Notes. In this circumstance, you may not be able to reinvest the redemption proceeds in a comparable security at an effective interest rate as high as that of the Notes being redeemed.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default on our obligations to pay our other indebtedness, we may not be able to make payments on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default under the agreements governing our indebtedness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value of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current indebtedness or other debt we may incur in the future could elect to terminate their commitments, cease making further loans and institute foreclosure proceedings against our assets, and we could be forced into bankruptcy or 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unable to repay debt, lenders having secured obligations, including KeyBank under the KeyBank Credit Facility or the KeyBank Secured Term Loan Facility, could proceed against the collateral securing the debt. Because the Indenture governing the Notes, the Existing Notes, the KeyBank Credit Facility and the KeyBank Secured Term Loan Facility each have and any future debt may have, customary cross-default and/or cross-acceleration provisions, if the indebtedness thereunder or under any future credit facility is accelerated, we may be unable to repay or finance the amounts due.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able to repurchase the Notes upon a Change of Control Repurchase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occurrence of a Change of Control Repurchase Event, as defined in the indenture that governs the Notes, as supplemented, subject to certain conditions, we will be required to offer to repurchase all outstanding Notes at 100% of their principal amount, plus accrued and unpaid interest. The source of funds for that purchase of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Notes tendered. Before making any such repurchase of Notes, we would also have to comply with certain requirements under the KeyBank Credit Facility and KeyBank Secured Term Loan Facility, as applicable, to the extent such requirements remain in effect at such time, or otherwise obtain consent from the lenders under the KeyBank Credit Facility and KeyBank Secured Term Loan Facility. Our future debt instruments also may contain similar restrictions and provisions. If the holders of the Notes exercise their right to require us to repurchase all the Notes upon a Change of Control Repurchase Event, the financial effect of this repurchase could cause a default under our existing or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“Description of the Notes — Offer to Repurchase Upon a Change of Control Repurchase Event” in this prospectus supplement.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 increase in market interest rates could result in a decrease in the market value of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condition of the financial markets and prevailing interest rates have fluctuated in the past and are likely to fluctuate in the future, which could have an adverse effect on the market prices, if any, or values of the Notes. In general, as market interest rates rise, debt securities bearing interest at fixed rates of interest decline in value. Consequently, if an investor purchases Notes bearing interest at fixed rates and market interest rates increase, the market prices, if any, or values of those Notes may decline. We cannot predict the future level of market interest rates.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an active trading market does not develop for the Notes, you may not be able to resell them.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are a new issue of debt securities and there currently is no trading market for the Notes. We do not intend to apply for listing of the Notes on any securities exchange or for quotation of the Notes on any automated dealer quotation system. If no active trading market develops, you may not be able to resell the Notes at their fair market value or at all.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underwriters have informed us that they currently intend to make a market in the Notes after the offering, but they are not obligated to do so. Such underwriters may discontinue any market-making in the Notes at any time at their sole discretion. In addition, any market-making activity will be subject to limits imposed by law. Accordingly, we cannot assure you that a liquid trading market will develop for the Notes, that you will be able to sell the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Proposed changes to U.S. tax laws could result in adverse consequences for non-U.S. persons owning or disposing of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rules dealing with U.S. federal income taxation are constantly under review by persons involved in the legislative process and by the Internal Revenue Service and the U.S. Treasury. Changes to the tax law, which may have retroactive application, could have a material adverse effect on the Company and/or any holder of Notes. Prospective investors are urged to consult with their own tax advisors before making an investment in the Notes.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604"/>
      <w:bookmarkEnd w:id="7"/>
      <w:r>
        <w:rPr>
          <w:rFonts w:ascii="Times New Roman PS Std;serif" w:hAnsi="Times New Roman PS Std;serif"/>
          <w:b/>
          <w:i w:val="false"/>
          <w:caps w:val="false"/>
          <w:smallCaps w:val="false"/>
          <w:sz w:val="20"/>
        </w:rPr>
        <w:t xml:space="preserve">SPECIAL NOTE REGARDING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statements in this prospectus supplement, the accompanying prospectus, any related free writing prospectus and any documents we may incorporate by reference herein and therein contain forward-looking statements that involve substantial risks and uncertainties. Such statements involve known and unknown risks, uncertainties and other factors, and undue reliance should not be placed thereon. Any statements about our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Accordingly, these statements are only predictions and involve estimates, known and unknown risks, assumptions and uncertainties that could cause actual results to differ materially from those expressed in them. Our actual results could differ materially from those anticipated in such forward-looking statements as a result of several factors more fully described or referenced under the section entitled “Risk Factors” and elsewhere in this prospectus supplement, the accompanying prospectus, any related free writing prospectus and any documents we may incorporate by reference herein and therein, including but not limited to the following factors,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operating results;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dependence upon our management team and key investment professionals;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manage our business and future growth;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investments in growth-oriented companies, other venture capital-backed companies and generally U.S.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our portfolio companies to achieve their objectives;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use of leverage;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the uncertainty of the value of our portfolio investments;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political, economic or industry conditions, including as a result of international conflicts, prolonged governmental shutdowns, supply chain disruptions, disruptions related to tariffs or other trade or sanction related issues, the interest rate and inflation rate environments or conditions affecting the financial and capital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uncertainty surrounding domestic and/or global financial and/or political stability;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dependence of our future success on the general economy and its impact on the industries in which we invest;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changes in interest rates and inflation rates, our expenses and other general economic conditions and the effect on our net investment income;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changes in laws or regulations (including the interpretation thereof), including tax laws, on our operations and/or the operations of our portfolio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market volatility, including general price and volume fluctuations in stock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make distributions;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maintain our status as a BDC under the 1940 Act and qualify annually for tax treatment as a RIC under the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Additionally, there may be other risks that are otherwise described from time to time in the reports that we file with the SEC. Any forward-looking statements in this prospectus supplement, the accompanying prospectus, any related free writing prospectus and any documents we may incorporate by reference herein and therein should be considered in light of various important factors, including the risks and uncertainties listed above, as well as others. All forward-looking statements are necessarily only estimates of future results, and there can be no assurance that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actual results will not differ materially from expectations, and, therefore, you are cautioned not to place undue reliance on such statements. Any forward-looking statements are qualified in their entirety by reference to the risk factors discussed throughout this prospectus supplement, the accompanying prospectus, any related free writing prospectus and any documents we may incorporate by reference herein. Further, any forward-looking statement speaks only as of the date on which it is made in this prospectus supplement, the accompanying prospectus, any related free writing prospectus and any documents we may incorporate by reference herein, and we undertake no obligation to update any forward-looking statement to reflect events or circumstances after the date on which the statement is made or to reflect the occurrence of unanticipated events, except as may be required by law. Because we are an investment company, the forward-looking statements and projections contained in this prospectus supplement, the accompanying prospectus, and any documents we may incorporate by reference herein are excluded from the safe harbor protections provided by Section 27A(b)(2)(B) of the Securities Act of 1933, as amended (the “Securities Act”), and Section 21E of the Securities Exchange Act of 1934, as amended (the “Exchange Act”) (the “safe harbor” provisions of the Private Securities Litigation Reform Act of 1995).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605"/>
      <w:bookmarkEnd w:id="8"/>
      <w:r>
        <w:rPr>
          <w:rFonts w:ascii="Times New Roman PS Std;serif" w:hAnsi="Times New Roman PS Std;serif"/>
          <w:b/>
          <w:i w:val="false"/>
          <w:caps w:val="false"/>
          <w:smallCaps w:val="false"/>
          <w:sz w:val="20"/>
        </w:rPr>
        <w:t xml:space="preserve">USE OF PROCEEDS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net proceeds we will receive from this offering will be approximately $            million, based on an offering price of            % per Note, after deducting the underwriting discounts, and estimated offering expenses of approximately $            payable by us. Such estimate is subject to change and no assurances can be given that actual expenses will not exceed such amount.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use the net proceeds from this offering to pay down a portion of our existing indebtedness outstanding under the KeyBank Credit Facility and for general corporate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KeyBank Credit Facility includes a commitment of $690.0 million from KeyBank, National Association and other banks. The KeyBank Credit Facility includes a three-year revolving period and a two-year amortization period and matures on July 27, 2029, unless extended. Borrowings under the KeyBank Credit Facility generally bear interest at a rate equal to Adjusted Term SOFR plus 2.85% to 3.25%, subject to the number of eligible loans in the collateral pool. The KeyBank Credit Facility provides for a variable advance rate of up to 62% on eligible first lien loans and up to 47% on eligible second lien loans. As of September 22, 2026, we had approximately $495.7 million of indebtedness outstanding under the KeyBank Credit Facility through our wholly-owned subsidiary, TCF.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reborrow under the KeyBank Credit Facility to make investments in accordance with our investment objective and investment strategy and for general corporate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Affiliates of certain underwriters are lenders under our KeyBank Credit Facility. Accordingly, affiliates of certain of the underwriters may receive more than 5% of the proceeds of this offering to the extent the proceeds are used to pay down a portion of the outstanding indebtedness under our financing arrangements. See “Underwriting — Other Relationships” in this prospectus supplement for additional information regarding potential payments to certain underwriters or their affiliates.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606"/>
      <w:bookmarkEnd w:id="9"/>
      <w:r>
        <w:rPr>
          <w:rFonts w:ascii="Times New Roman PS Std;serif" w:hAnsi="Times New Roman PS Std;serif"/>
          <w:b/>
          <w:i w:val="false"/>
          <w:caps w:val="false"/>
          <w:smallCaps w:val="false"/>
          <w:sz w:val="20"/>
        </w:rPr>
        <w:t xml:space="preserve">CAPITALIZATION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cash and capitalization as of June 30,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an actual basis;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an as adjusted basis to reflect the assumed sale of $            of aggregate principal amount of Notes in this offering at a public offering price of            % per Note after deducting the underwriting discounts, and estimated offering expenses of approximately $            payable by us and application of the net proceeds as discussed in more detail under “</w:t>
      </w:r>
      <w:r>
        <w:rPr>
          <w:rFonts w:ascii="Times New Roman PS Std;serif" w:hAnsi="Times New Roman PS Std;serif"/>
          <w:b w:val="false"/>
          <w:i/>
          <w:caps w:val="false"/>
          <w:smallCaps w:val="false"/>
          <w:sz w:val="20"/>
        </w:rPr>
        <w:t>Use of Proceeds</w:t>
      </w:r>
      <w:r>
        <w:rPr>
          <w:rFonts w:ascii="Times New Roman PS Std;serif" w:hAnsi="Times New Roman PS Std;serif"/>
          <w:b w:val="false"/>
          <w:i w:val="false"/>
          <w:caps w:val="false"/>
          <w:smallCaps w:val="false"/>
          <w:sz w:val="20"/>
        </w:rPr>
        <w:t>” in this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this table together with “</w:t>
      </w:r>
      <w:r>
        <w:rPr>
          <w:rFonts w:ascii="Times New Roman PS Std;serif" w:hAnsi="Times New Roman PS Std;serif"/>
          <w:b w:val="false"/>
          <w:i/>
          <w:caps w:val="false"/>
          <w:smallCaps w:val="false"/>
          <w:sz w:val="20"/>
        </w:rPr>
        <w:t>Use of Proceeds</w:t>
      </w:r>
      <w:r>
        <w:rPr>
          <w:rFonts w:ascii="Times New Roman PS Std;serif" w:hAnsi="Times New Roman PS Std;serif"/>
          <w:b w:val="false"/>
          <w:i w:val="false"/>
          <w:caps w:val="false"/>
          <w:smallCaps w:val="false"/>
          <w:sz w:val="20"/>
        </w:rPr>
        <w:t>” and our most recent balance sheet included in our Quarterly Report on Form 10-Q for the fiscal quarter ended June 30, 2026, which is incorporated by reference herein.</w:t>
      </w:r>
    </w:p>
    <w:tbl>
      <w:tblPr>
        <w:tblW w:w="10205" w:type="dxa"/>
        <w:jc w:val="left"/>
        <w:tblInd w:w="0" w:type="dxa"/>
        <w:tblLayout w:type="fixed"/>
        <w:tblCellMar>
          <w:top w:w="0" w:type="dxa"/>
          <w:left w:w="0" w:type="dxa"/>
          <w:bottom w:w="0" w:type="dxa"/>
          <w:right w:w="0" w:type="dxa"/>
        </w:tblCellMar>
      </w:tblPr>
      <w:tblGrid>
        <w:gridCol w:w="6984"/>
        <w:gridCol w:w="146"/>
        <w:gridCol w:w="301"/>
        <w:gridCol w:w="1261"/>
        <w:gridCol w:w="241"/>
        <w:gridCol w:w="146"/>
        <w:gridCol w:w="613"/>
        <w:gridCol w:w="513"/>
      </w:tblGrid>
      <w:tr>
        <w:trPr/>
        <w:tc>
          <w:tcPr>
            <w:tcW w:w="698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(dollars in thousands, except per share data)</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 xml:space="preserve">2026 </w:t>
              <w:br/>
              <w:t>(Unaudited)</w:t>
            </w:r>
          </w:p>
        </w:tc>
        <w:tc>
          <w:tcPr>
            <w:tcW w:w="146" w:type="dxa"/>
            <w:tcBorders/>
            <w:vAlign w:val="bottom"/>
          </w:tcPr>
          <w:p>
            <w:pPr>
              <w:pStyle w:val="TableContents"/>
              <w:bidi w:val="0"/>
              <w:spacing w:before="0" w:after="283"/>
              <w:jc w:val="left"/>
              <w:rPr/>
            </w:pPr>
            <w:r>
              <w:rPr/>
              <w:t> </w:t>
            </w:r>
          </w:p>
        </w:tc>
        <w:tc>
          <w:tcPr>
            <w:tcW w:w="112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Adjusted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for this </w:t>
              <w:br/>
              <w:t>Offering</w:t>
            </w:r>
          </w:p>
        </w:tc>
      </w:tr>
      <w:tr>
        <w:trPr/>
        <w:tc>
          <w:tcPr>
            <w:tcW w:w="69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13" w:type="dxa"/>
            <w:tcBorders/>
            <w:shd w:fill="CCEEFF" w:val="clear"/>
            <w:vAlign w:val="bottom"/>
          </w:tcPr>
          <w:p>
            <w:pPr>
              <w:pStyle w:val="TableContents"/>
              <w:bidi w:val="0"/>
              <w:spacing w:before="0" w:after="283"/>
              <w:jc w:val="left"/>
              <w:rPr/>
            </w:pPr>
            <w:r>
              <w:rPr/>
              <w:t> </w:t>
            </w:r>
          </w:p>
        </w:tc>
      </w:tr>
      <w:tr>
        <w:trPr/>
        <w:tc>
          <w:tcPr>
            <w:tcW w:w="6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at fair value (cost of $2,718,220)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2,732,301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13" w:type="dxa"/>
            <w:tcBorders/>
            <w:vAlign w:val="bottom"/>
          </w:tcPr>
          <w:p>
            <w:pPr>
              <w:pStyle w:val="TableContents"/>
              <w:bidi w:val="0"/>
              <w:spacing w:before="0" w:after="283"/>
              <w:jc w:val="left"/>
              <w:rPr/>
            </w:pPr>
            <w:r>
              <w:rPr/>
              <w:t> </w:t>
            </w:r>
          </w:p>
        </w:tc>
      </w:tr>
      <w:tr>
        <w:trPr/>
        <w:tc>
          <w:tcPr>
            <w:tcW w:w="69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13" w:type="dxa"/>
            <w:tcBorders/>
            <w:shd w:fill="CCEEFF" w:val="clear"/>
            <w:vAlign w:val="bottom"/>
          </w:tcPr>
          <w:p>
            <w:pPr>
              <w:pStyle w:val="TableContents"/>
              <w:bidi w:val="0"/>
              <w:spacing w:before="0" w:after="283"/>
              <w:jc w:val="left"/>
              <w:rPr/>
            </w:pPr>
            <w:r>
              <w:rPr/>
              <w:t> </w:t>
            </w:r>
          </w:p>
        </w:tc>
      </w:tr>
      <w:tr>
        <w:trPr/>
        <w:tc>
          <w:tcPr>
            <w:tcW w:w="6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13" w:type="dxa"/>
            <w:tcBorders/>
            <w:vAlign w:val="bottom"/>
          </w:tcPr>
          <w:p>
            <w:pPr>
              <w:pStyle w:val="TableContents"/>
              <w:bidi w:val="0"/>
              <w:spacing w:before="0" w:after="283"/>
              <w:jc w:val="left"/>
              <w:rPr/>
            </w:pPr>
            <w:r>
              <w:rPr/>
              <w:t> </w:t>
            </w:r>
          </w:p>
        </w:tc>
      </w:tr>
      <w:tr>
        <w:trPr/>
        <w:tc>
          <w:tcPr>
            <w:tcW w:w="69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credit facility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13" w:type="dxa"/>
            <w:tcBorders/>
            <w:shd w:fill="CCEEFF" w:val="clear"/>
            <w:vAlign w:val="bottom"/>
          </w:tcPr>
          <w:p>
            <w:pPr>
              <w:pStyle w:val="TableContents"/>
              <w:bidi w:val="0"/>
              <w:spacing w:before="0" w:after="283"/>
              <w:jc w:val="left"/>
              <w:rPr/>
            </w:pPr>
            <w:r>
              <w:rPr/>
              <w:t> </w:t>
            </w:r>
          </w:p>
        </w:tc>
      </w:tr>
      <w:tr>
        <w:trPr/>
        <w:tc>
          <w:tcPr>
            <w:tcW w:w="6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2,805,372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1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13" w:type="dxa"/>
            <w:tcBorders/>
            <w:vAlign w:val="bottom"/>
          </w:tcPr>
          <w:p>
            <w:pPr>
              <w:pStyle w:val="TableContents"/>
              <w:bidi w:val="0"/>
              <w:spacing w:before="0" w:after="283"/>
              <w:jc w:val="left"/>
              <w:rPr/>
            </w:pPr>
            <w:r>
              <w:rPr/>
              <w:t> </w:t>
            </w:r>
          </w:p>
        </w:tc>
      </w:tr>
      <w:tr>
        <w:trPr/>
        <w:tc>
          <w:tcPr>
            <w:tcW w:w="69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Existing Notes, net of $14,469 of unamortized deferred financing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1,017,412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13" w:type="dxa"/>
            <w:tcBorders/>
            <w:shd w:fill="CCEEFF" w:val="clear"/>
            <w:vAlign w:val="bottom"/>
          </w:tcPr>
          <w:p>
            <w:pPr>
              <w:pStyle w:val="TableContents"/>
              <w:bidi w:val="0"/>
              <w:spacing w:before="0" w:after="283"/>
              <w:jc w:val="left"/>
              <w:rPr/>
            </w:pPr>
            <w:r>
              <w:rPr/>
              <w:t> </w:t>
            </w:r>
          </w:p>
        </w:tc>
      </w:tr>
      <w:tr>
        <w:trPr/>
        <w:tc>
          <w:tcPr>
            <w:tcW w:w="6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KeyBank Secured Term Loan Facility, net of $1,249 of unamortized deferred financing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198,751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13" w:type="dxa"/>
            <w:tcBorders/>
            <w:vAlign w:val="bottom"/>
          </w:tcPr>
          <w:p>
            <w:pPr>
              <w:pStyle w:val="TableContents"/>
              <w:bidi w:val="0"/>
              <w:spacing w:before="0" w:after="283"/>
              <w:jc w:val="left"/>
              <w:rPr/>
            </w:pPr>
            <w:r>
              <w:rPr/>
              <w:t> </w:t>
            </w:r>
          </w:p>
        </w:tc>
      </w:tr>
      <w:tr>
        <w:trPr/>
        <w:tc>
          <w:tcPr>
            <w:tcW w:w="69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 Facility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282,100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13" w:type="dxa"/>
            <w:tcBorders/>
            <w:shd w:fill="CCEEFF" w:val="clear"/>
            <w:vAlign w:val="bottom"/>
          </w:tcPr>
          <w:p>
            <w:pPr>
              <w:pStyle w:val="TableContents"/>
              <w:bidi w:val="0"/>
              <w:spacing w:before="0" w:after="283"/>
              <w:jc w:val="left"/>
              <w:rPr/>
            </w:pPr>
            <w:r>
              <w:rPr/>
              <w:t> </w:t>
            </w:r>
          </w:p>
        </w:tc>
      </w:tr>
      <w:tr>
        <w:trPr/>
        <w:tc>
          <w:tcPr>
            <w:tcW w:w="6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offered hereby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13" w:type="dxa"/>
            <w:tcBorders/>
            <w:vAlign w:val="bottom"/>
          </w:tcPr>
          <w:p>
            <w:pPr>
              <w:pStyle w:val="TableContents"/>
              <w:bidi w:val="0"/>
              <w:spacing w:before="0" w:after="283"/>
              <w:jc w:val="left"/>
              <w:rPr/>
            </w:pPr>
            <w:r>
              <w:rPr/>
              <w:t> </w:t>
            </w:r>
          </w:p>
        </w:tc>
      </w:tr>
      <w:tr>
        <w:trPr/>
        <w:tc>
          <w:tcPr>
            <w:tcW w:w="69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Security deposits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13" w:type="dxa"/>
            <w:tcBorders/>
            <w:shd w:fill="CCEEFF" w:val="clear"/>
            <w:vAlign w:val="bottom"/>
          </w:tcPr>
          <w:p>
            <w:pPr>
              <w:pStyle w:val="TableContents"/>
              <w:bidi w:val="0"/>
              <w:spacing w:before="0" w:after="283"/>
              <w:jc w:val="left"/>
              <w:rPr/>
            </w:pPr>
            <w:r>
              <w:rPr/>
              <w:t> </w:t>
            </w:r>
          </w:p>
        </w:tc>
      </w:tr>
      <w:tr>
        <w:trPr/>
        <w:tc>
          <w:tcPr>
            <w:tcW w:w="6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accrued expenses and other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1,538,523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1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13" w:type="dxa"/>
            <w:tcBorders/>
            <w:vAlign w:val="bottom"/>
          </w:tcPr>
          <w:p>
            <w:pPr>
              <w:pStyle w:val="TableContents"/>
              <w:bidi w:val="0"/>
              <w:spacing w:before="0" w:after="283"/>
              <w:jc w:val="left"/>
              <w:rPr/>
            </w:pPr>
            <w:r>
              <w:rPr/>
              <w:t> </w:t>
            </w:r>
          </w:p>
        </w:tc>
      </w:tr>
      <w:tr>
        <w:trPr/>
        <w:tc>
          <w:tcPr>
            <w:tcW w:w="69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par value $0.001 per share; 200,000,000 shares authorized; 94,023,371 shares issued and outstanding</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13" w:type="dxa"/>
            <w:tcBorders/>
            <w:shd w:fill="CCEEFF" w:val="clear"/>
            <w:vAlign w:val="bottom"/>
          </w:tcPr>
          <w:p>
            <w:pPr>
              <w:pStyle w:val="TableContents"/>
              <w:bidi w:val="0"/>
              <w:spacing w:before="0" w:after="283"/>
              <w:jc w:val="left"/>
              <w:rPr/>
            </w:pPr>
            <w:r>
              <w:rPr/>
              <w:t> </w:t>
            </w:r>
          </w:p>
        </w:tc>
      </w:tr>
      <w:tr>
        <w:trPr/>
        <w:tc>
          <w:tcPr>
            <w:tcW w:w="6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Paid-in capital in excess of par</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1,287,771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13" w:type="dxa"/>
            <w:tcBorders/>
            <w:vAlign w:val="bottom"/>
          </w:tcPr>
          <w:p>
            <w:pPr>
              <w:pStyle w:val="TableContents"/>
              <w:bidi w:val="0"/>
              <w:spacing w:before="0" w:after="283"/>
              <w:jc w:val="left"/>
              <w:rPr/>
            </w:pPr>
            <w:r>
              <w:rPr/>
              <w:t> </w:t>
            </w:r>
          </w:p>
        </w:tc>
      </w:tr>
      <w:tr>
        <w:trPr/>
        <w:tc>
          <w:tcPr>
            <w:tcW w:w="69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Distributable earnings/(accumulated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(21,016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Net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1,266,849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9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Net Assets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2,805,372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1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 Value Per Share</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13.47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1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607"/>
      <w:bookmarkEnd w:id="10"/>
      <w:r>
        <w:rPr>
          <w:rFonts w:ascii="Times New Roman PS Std;serif" w:hAnsi="Times New Roman PS Std;serif"/>
          <w:b/>
          <w:i w:val="false"/>
          <w:caps w:val="false"/>
          <w:smallCaps w:val="false"/>
          <w:sz w:val="20"/>
        </w:rPr>
        <w:t xml:space="preserve">SENIOR SECURITIES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about our senior securities as of the fiscal quarter ended June 30, 2026 and fiscal years ended December 31, 2025, 2024, 2023, 2022, 2021 and 2020 is located in “Part I, Item 1. Consolidated Financial Statements — Notes to Consolidated Financial Statements (unaudited)” of our Quarterly Report on Form 10-Q for the quarter ended June 30, 2026 (filed on August 5, 2026) and in “Part II, Item 8. Financial Statements and Supplementary Data — Notes to Consolidated Financial Statements” of our Annual Report on Form 10-K for the fiscal year ended December 31, 2025 (filed on February 25, 2026), which are incorporated by reference herein. We had no senior securities outstanding as of December 31, 2019. The report of our independent registered public accounting firm, Ernst &amp; Young LLP, on such senior securities table is included in our Annual Report on Form 10-K for the fiscal year ended December 31, 2025 (filed on February 25, 2026) and is incorporated by reference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608"/>
      <w:bookmarkEnd w:id="11"/>
      <w:r>
        <w:rPr>
          <w:rFonts w:ascii="Times New Roman PS Std;serif" w:hAnsi="Times New Roman PS Std;serif"/>
          <w:b/>
          <w:i w:val="false"/>
          <w:caps w:val="false"/>
          <w:smallCaps w:val="false"/>
          <w:sz w:val="20"/>
        </w:rPr>
        <w:t xml:space="preserve">CERTAIN U.S. FEDERAL INCOME TAX CONSIDERATIONS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a general summary of the material U.S. federal income tax considerations (and, in the case of a non-U.S. holder (as defined below), the material U.S. federal estate tax consequences) applicable to an investment in the Notes. This summary deals only with Notes that are purchased for cash in this offering for a price equal to the “issue price” of the Notes (i.e., the first price at which a substantial amount of the Notes is sold for money to investors, other than to bond houses, brokers or similar persons or organizations acting in the capacity of underwriters, placement agents or wholesalers). This summary does not purport to be a complete description of the income and estate tax considerations applicable to such an investment. The discussion is based upon the Code, U.S. Treasury Regulations (“Treasury Regulations”), and administrative and judicial interpretations, each as of the date of this prospectus supplement and all of which are subject to change, potentially with retroactive effect. No assurance can be given that the U.S. Internal Revenue Service (the “IRS”) would not assert, or that a court would not sustain, a position contrary to any of the tax aspects set forth below. You should consult your own tax advisor with respect to tax considerations that pertain to your acquisition, ownership and disposition of our Notes. For a summary of the U.S. federal income tax considerations applicable to us regarding our election to be treated as a RIC, please refer to “Certain U.S. Federal Income Tax Considerations — Taxation as a Regulated Investment Company” and “Failure to Qualify as a RIC” in the accompanying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deals only with Notes held as capital assets within the meaning of Section 1221 of the Code (generally, property held for investment purposes) and does not purport to deal with persons in special tax situations, such as financial institutions, insurance companies, regulated investment companies, dealers in securities or currencies, traders in securities, former citizens of the United States, persons holding the Notes as a hedge against currency risks or as a position in a “straddle,” “hedge,” “constructive sale transaction” or “conversion transaction” for tax purposes, entities that are tax-exempt for U.S. federal income tax purposes, retirement plans, individual retirement accounts, tax-deferred accounts, persons subject to the alternative minimum tax, pass-through entities (including partnerships and entities and arrangements classified as partnerships for U.S. federal income tax purposes) and beneficial owners of pass-through entities, accrual method taxpayers for U.S. federal income tax purposes required to accelerate the recognition of any item of gross income with respect to the Notes as a result of such income being recognized on an applicable financial statement, persons subject to special rates of withholding or other U.S. taxation, or U.S. holders (as defined below) whose functional currency (as defined in Section 985 of the Code) is not the U.S. dollar. In addition, this discussion does not deal with any tax consequences other than U.S. federal income tax consequences (and, in the case of a non-U.S. holder, U.S. federal estate tax consequences). If you are considering acquiring the Notes, you should consult your own tax advisor concerning the application of the U.S. federal income and estate tax laws to you in light of your particular situation, as well as any consequences to you of purchasing, owning and disposing of the Notes under the laws of any other taxing jurisdiction.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discussion, the term “U.S. holder” means a beneficial owner of a Note that is, for U.S. federal income tax purposes, (i) an individual citizen or resident of the United States, (ii) a corporation or other entity treated as a corporation for U.S. federal income tax purposes, created or organized in or under the laws of the United States or of any state thereof or the District of Columbia, (iii) a trust (a) subject to the control of one or more U.S. persons and the primary supervision of a court in the United States, or (b) that existed on August 20, 1996 and has made a valid election (under applicable Treasury Regulations) to be treated as a domestic trust, or (iv) an estate the income of which is subject to U.S. federal income taxation regardless of its source.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“non-U.S. holder” means a beneficial owner of a Note that is neither a U.S. holder nor a partnership (including an entity or arrangement treated as a partnership for U.S. federal income tax purposes). An individual may, subject to certain exceptions, be subject to treatment as a resident alien, as opposed to a non-resident alien, for U.S. federal income tax purposes by, among other ways, being physically present in the U.S. both (i) on at least 31 days during a calendar year, and (ii) for an aggregate period of at least 183 days during a three-year period ending in the current calendar year, counting for such purposes all of the days present in the current calendar year, one-third of the days present in the immediate preceding year, and one-sixth of the days present in the second preceding year. Resident aliens are subject to U.S. federal income tax as if they were U.S. citizens.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 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Partnerships holding Notes, and the persons holding interests in such partnerships, should consult their own tax advisors as to the consequences of investing in the Notes in their individual circumstances.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 of Note 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discussed below, payments or accruals of interest on a Note generally will be taxable to a U.S. holder as ordinary interest income at the time they are received (actually or constructively) or accrued, in accordance with the U.S. holder’s regular method of tax accounting. If the issue price of a Note is less than its stated principal amount by more than a specified de minimis amount, the Note will be considered as having been issued for U.S. federal income tax purposes with original issue discount (“OID”) in an amount equal to each excess. If the Note is issued with OID, a U.S. holder generally will be required to include the OID in gross income as ordinary interest income as the OID accrues, in advance of the receipt of cash attributable to that income and regardless of such holder’s regular method of tax accounting. Such OID will be included in gross income for each day during each taxable year in which a Note is held by a U.S. holder using a constant yield to maturity method that reflects the compounding of interest. This means that a U.S. holder will be required to include increasingly greater amounts of OID over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sale, exchange, redemption, retirement or other taxable disposition of a Note, a U.S. holder generally will recognize capital gain or loss equal to the difference between the amount realized on the sale, exchange, redemption, retirement or other taxable disposition (excluding amounts representing accrued and unpaid interest, which are treated as ordinary income to the extent not previously included in income) and the U.S. holder’s adjusted tax basis in the Note. A U.S. holder’s adjusted tax basis in a Note generally will equal the amount paid for the Note. Capital gain or loss generally will be long-term capital gain or loss if the U.S. holder’s holding period in the Note was more than one year. Long-term capital gains generally are taxed at reduced rates for individuals and certain other non-corporate U.S. holders. The distinction between capital gain and loss and ordinary income and loss also is important for purposes of, among other things, the limitations imposed on a U.S. holder’s ability to offset capital losses against ordinary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tax of 3.8% will be imposed on certain “net investment income” (or “undistributed net investment income,” in the case of estates and trusts) received by U.S. holders with modified adjusted gross income above certain threshold amounts. “Net investment income” as defined for this purpose generally includes interest payments on and gain recognized from the sale, redemption, retirement or other taxable disposition of the Notes. U.S. holders should consult their own tax advisors regarding the effect, if any, of this tax on their ownership and disposition of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applicable Treasury Regulations, if a U.S. holder recognizes a loss with respect to the Notes or shares of our common stock of $2 million or more for a non-corporate U.S. holder or $10 million or more for a corporate U.S. holder in any single taxable year (or a greater loss over a combination of taxable years), the U.S. holder may be required to file with the IRS a disclosure statement on IRS Form 8886. Direct U.S. holders of portfolio securities are in many cases excepted from this reporting requirement, but, under current guidance, U.S. holders of a RIC are not excepted. Future guidance may extend the current exception from this reporting requirement to U.S. 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holders of the Notes or our common stock should consult their own tax advisors to determine the applicability of these Treasury Regulations in light of their individual circumstances.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Non-U.S.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Except as provided below under “Information Reporting and Backup Withholding” and “FATCA,” a non-U.S. holder generally will not be subject to U.S. federal income or withholding taxes on payments of interest on a Note provided that (i) the interest is not effectively connected with the conduct by the non-U.S. holder of a trade or business within the United States, (ii) the non-U.S. holder is not a controlled foreign corporation that is treated as related to the Company through stock ownership, (iii) the non-U.S. holder is not a bank receiving interest described in Section 881(c)(3)(A) of the Code, (iv) the non-U.S. holder does not own (directly or indirectly, actually or constructively) 10% or more of the total combined voting power of all classes of stock of the Company, and (v)(A) the non-U.S. holder provides the applicable withholding agent with a valid certification on an IRS Form W-8BEN, Form W-8BEN-E, or other applicable U.S. nonresident withholding tax certification form, certifying its non-U.S. holder status, or (B) a securities clearing organization, bank, or other financial institution that holds customer securities in the ordinary course of its trade or business (i.e., a “financial institution”) and holds a Note on a non-U.S. holder’s behalf certifies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applicable withholding agent under penalties of perjury that either it or another financial institution has received the required statement from the non-U.S. holder certifying that it is a non-U.S. person and furnishes the applicable withholding agent with a copy of the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holder that is not exempt from tax under these rules generally will be subject to U.S. federal income tax withholding on payments of interest on the Notes at a rate of 30% unless (i) the income is effectively connected with the conduct of a U.S. trade or business, so long as the non-U.S. holder has provided the applicable withholding agent with an IRS Form W-8ECI (or substantially similar substitute U.S. nonresident withholding tax certification form) stating that the interest on the Notes is effectively connected with the non-U.S. holder’s conduct of a trade or business in the U.S. in which case the interest will be subject to U.S. federal income tax on a net income basis as applicable to U.S. holders generally (unless an applicable income tax treaty provides otherwise), or (ii) an applicable income tax treaty or provision in the Code provides for a lower rate of, or exemption from, withholding tax, so long as the non-U.S. holder has provided the applicable withholding agent with an IRS Form W-8BEN or Form W-8BEN-E (or other applicable U.S. nonresident withholding tax certification form) claiming such lower rate of, or exemption from, withholding tax under such income tax treaty.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claim the benefit of an income tax treaty or to claim exemption from withholding because income is effectively connected with a U.S. trade or business, the non-U.S. holder must timely provide the appropriate, properly executed IRS U.S. nonresident withholding tax certification form, signed under penalties of perjury, to the applicable withholding agent. These forms may be required to be updated periodically. Additionally, a non-U.S. holder who is claiming the benefits of an income tax treaty may be required to obtain a U.S. taxpayer identification number and provide certain documentary evidence issued by a non-U.S. governmental authority in order to prove residence in a foreign country.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a non-U.S. holder that is a corporation and that receives income that is effectively connected with the conduct of a U.S. trade or business, such income may also be subject to an additional branch profits tax at a 30% rate. The branch profits tax may not apply (or may apply at a reduced rate) if the non-U.S. holder is a qualified resident of a country with which the United States has an income tax treaty.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a non-U.S. holder will not be subject to U.S. federal income or withholding taxes on any amount that constitutes capital gain upon the sale, exchange, redemption, retirement or other taxable disposition of a Note, provided that the gain is not effectively connected with the conduct of a trade or business in the United States by the non-U.S. holder. Non-U.S. holders should consult their own tax advisors with regard to whether taxes will be imposed on capital gain in their individual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Note that is held by an individual who, at the time of death, is not a citizen or resident of the United States (as specially defined for U.S. federal estate tax purposes) generally will not be subject to the U.S. federal estate tax, unless, at the time of death, (i) such individual directly or indirectly, actually or constructively, owns ten percent or more of the total combined voting power of all classes of our stock entitled to vote within the meaning of Section 871(h)(3) of the Code and the Treasury Regulations thereunder or (ii) such individual’s interest in the Notes is effectively connected with the individual’s conduct of a U.S. trade or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Information Reporting and Backup Withholding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(other than an “exempt recipient,” including a corporation and certain other persons who, when required, demonstrate their exempt status) may be subject to backup withholding at a rate of 24% on, and to information reporting requirements with respect to, payments of principal and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are a non-U.S. holder, generally, the applicable withholding agent must report to the IRS and to you payments of interest on the Notes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apply to payments of interest on your Notes, unless you have provided to the applicable withholding agent the required certification that you are not a U.S. person or you otherwise establish an exemption, and the applicable withholding agent does not have actual knowledge or reason to know that you are a U.S. person. Information reporting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depending on the circumstances, backup withholding will apply to payment to you of the proceeds of a sale or other disposition (including a retirement or redemption) of the Notes within the U.S. or conducted through certain U.S.-related financial intermediaries, unless you certify under penalties of perjury that you are not a U.S. person or you otherwise establish an exemption, and the applicable withholding agent does not have actual knowledge or reason to know that you are a U.S.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consult your tax advisor regarding the qualification for an exemption from backup withholding and information reporting and the procedures for obtaining such an exemption, if applicable. Any amounts withheld under the backup withholding rules from a payment to a beneficial owner generally would be allowed as a refund or a credit against such beneficial owner’s U.S. federal income tax provided the required information is timely furnished to the IRS.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FATCA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provisions of the Code, commonly known as the Foreign Account Tax Compliance Act (“FATCA”), generally impose a withholding tax of 30% on certain payments to certain foreign entities (including financial intermediaries) unless various U.S. information reporting and diligence requirements (that are in addition to the requirement to deliver an applicable U.S. nonresident withholding tax certification form (e.g., IRS Form W-8BEN), as discussed above) and certain other requirements have been satisfied. FATCA withholding generally applies to payments of interest (“withholdable payments”), including interest on the notes, to certain non-U.S. entities (including, in some circumstances, where such an entity is acting as an intermediary) that fail to comply with certain certification, identification, withholding and information reporting requirements imposed by FATCA. FATCA withholding taxes generally apply to all withholdable payments without regard to whether the beneficial owner of the payment would otherwise be entitled to an exemption from withholding taxes pursuant to an applicable income tax treaty with the U.S. or under U.S. domestic law. If FATCA withholding taxes are imposed with respect to any payments of interest or proceeds made under the Notes, holders that are otherwise eligible for an exemption from, or reduction of, U.S. federal withholding taxes with respect to such interest or proceeds will be required to seek a credit or refund from the IRS in order to obtain the benefit of such exemption or reduction, if any. Holders of or prospective holders of the Notes may be required to provide additional information to enable the applicable withholding agent to determine whether withholding is required. Persons located in jurisdictions that have entered into an intergovernmental agreement with the U.S. to implement FATCA may be subject to different rules. FATCA withholding would have applied to payments of gross proceeds from a sale or other disposition (including a retirement or redemption) of the Notes; however, under proposed Treasury Regulations that may be relied upon pending finalization, the withholding tax on gross proceeds would be eliminated and, consequently, FATCA withholding on gross proceeds is not expected to apply. Non-U.S. holders, and U.S. holders that expect to hold the Notes through non-U.S. entities, should consult their own tax advisors regarding the effect, if any, of these withholding and reporting provisions.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preceding discussion of material U.S. federal income tax considerations is for general information only and is not tax advice. We urge you to consult your own tax advisor with respect to the particular tax consequences to you of an investment in the Notes, including the possible effect of any pending legislation or proposed regulations.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609"/>
      <w:bookmarkEnd w:id="12"/>
      <w:r>
        <w:rPr>
          <w:rFonts w:ascii="Times New Roman PS Std;serif" w:hAnsi="Times New Roman PS Std;serif"/>
          <w:b/>
          <w:i w:val="false"/>
          <w:caps w:val="false"/>
          <w:smallCaps w:val="false"/>
          <w:sz w:val="20"/>
        </w:rPr>
        <w:t xml:space="preserve">DESCRIPTION OF THE NOTES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issue the Notes under the base indenture dated January 16, 2020, between us and U.S. Bank Trust Company, National Association, as trustee (the “trustee”), as supplemented by a ninth supplemental indenture to be dated as of the settlement date for the Notes. As used in this section, all references to the indenture mean the base indenture as supplemented by the ninth supplemental indenture. The terms of the Notes include those expressly set forth in the indenture and those made part of the indenture by reference to the Trust Indenture Act of 1939, as amended (the “TIA”).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description, references to “we,” “our” and “us” refer only to the Company and not to any of its current or future subsidiaries and references to “subsidiaries” refer only to our consolidated subsidiaries and exclude any investments held by the Company in the ordinary course of business which are not, under GAAP, consolidated on the financial statements of the Company and its subsidiaries.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be our direct, general unsecured, unsubordinated obligations;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initially be issued in an aggregate principal amount of $            ;</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mature on            ,             , unless earlier redeemed or repurchased, as discussed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bear cash interest from            , 2026            at an annual rate of            % payable semi-annually in arrears on and of each year, beginning on            ,             ;</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be subject to redemption at our option as described herein under “— Optional Redemption”;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be subject to repurchase by us at the option of the holders following a Change of Control Repurchase Event (as defined below under “— Offer to Repurchase Upon a Change of Control Repurchase Event”), at a repurchase price equal to 100% of the principal amount of the Notes to be repurchased, plus accrued and unpaid interest to, but excluding, the date of repurchase;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be issued in minimum denominations of $2,000 and integral multiples of $1,000 in excess thereof;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be represented by one or more registered Notes in global form, but in certain limited circumstances may be represented by Notes in definitive form. See “— Book-Entry, Settlement and Clearance”.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does not limit the amount of debt that may be issued by us or our subsidiaries under the indenture or otherwise but does contain a covenant regarding our asset coverage that would have to be satisfied at the time of incurrence of additional indebtedness. See “— Covenants — Other Covenants”. The indenture does not contain any financial covenants and does not restrict us from paying dividends or issuing or repurchasing our other securities. Other than restrictions described under “— Offer to Repurchase Upon a Change of Control Repurchase Event” and “—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without the consent of the holders, issue additional Notes under the indenture with the same terms (except for the issue date, public offering price and, if applicable, the initial interest payment date) and with the same CUSIP numbers as the Notes offered hereby in an unlimited aggregate principal amount; provided that such additional Notes must either be issued in a “qualified reopening” for U.S. federal income tax purposes, with no more than a de minimis amount of original issue discount, or otherwise be part of the same issue as the Notes offered hereby for U.S. federal income tax purposes.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intend to list the Notes on any securities exchange or any automated dealer quotation system.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Payments on the Notes; Paying Agent and Registrar; Transfer and Exchange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the principal of, and interest on, Notes in global form registered in the name of or held by DTC or its nominee in immediately available funds to DTC or its nominee, as the case may be, as the registered holder of such Global Note (as defined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principal of (and premium, if any) and any such interest on the Notes will be made at the corporate trust office of the paying agent, which initially shall be the trustee, in such coin or currency of the United States of America as at the time of payment is legal tender for payment of public and private debts; provided, however, that, in the case of notes that are not in global form, at our option payment of interest may be made by check mailed to the address of the person entitled thereto as such address shall appear in the security register.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or the trustee may require a holder to pay a sum sufficient to cover any transfer tax or other similar governmental charge required by law or permitted by the indenture.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registered holder of a Note will be treated as its owner for all purposes.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bear cash interest at a rate of            % per year until maturity. Interest on the Notes will accrue from            , 2026 or from the most recent date on which interest has been paid or duly provided for. Interest will be payable semiannually in arrears on            and            of each year, beginning on            ,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will be paid to the person in whose name the Notes are registered at 5:00 p.m. New York City time (the “close of business”) on            or            (whether or not a business day), as the case may be, immediately preceding the relevant interest payment date. Interest on the Notes will be computed on the basis of a 360-day year composed of twelve 30-day months.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interest payment date, redemption date, the maturity date or any earlier required repurchase date upon a Change of Control Repurchase Event (defined below) of the Notes falls on a day that is not a business day, the required payment will be made on the next succeeding business day and no interest on such payment will accrue in respect of the delay. The term “business day” means, with respect to any of the Notes, any day other than a Saturday, a Sunday or a day on which banking institutions in New York or the city in which the corporate trust office of the trustee is located are authorized or obligated by law or executive order to close.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trustee will have no obligation to calculate or verify the calculation of the accrued and unpaid interest payable on the notes.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Ranking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be our direct, general unsecured obligations that will rank: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senior in right of payment to all of our future indebtedness or other obligations that are expressly subordinated, or junior, in right of payment to the Notes;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pari</w:t>
      </w:r>
      <w:r>
        <w:rPr>
          <w:rFonts w:ascii="Times New Roman PS Std;serif" w:hAnsi="Times New Roman PS Std;serif"/>
          <w:b w:val="false"/>
          <w:i w:val="false"/>
          <w:caps w:val="false"/>
          <w:smallCaps w:val="false"/>
          <w:sz w:val="20"/>
        </w:rPr>
        <w:t xml:space="preserve"> passu, or equal, in right of payment with all of our existing and future indebtedness or other obligations that are not so subordinated, or junior, including, without limitation, the $906.9 million in aggregate principal amount of the Existing Notes as of September 22,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effectively subordinated, or junior, to any of our existing and future secured indebtedness or other obligations (including unsecured indebtedness that we later secure) to the extent of the value of the assets securing such indebtedness;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structurally subordinated, or junior, to all existing and future indebtedness and other obligations (including trade payables) incurred by our subsidiaries, financing vehicles or similar facilities, including, without limitation, borrowings under the KeyBank Credit Facility, of which approximately $495.7 million was outstanding as of September 22, 2026 and are secured by the assets of our wholly-owned subsidiary, TCF, and borrowings under the KeyBank Secured Term Loan Facility, of which approximately $174.9 million was outstanding as of September 22, 2026 and are secured by the assets of our wholly-owned subsidiary, TF3.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22, 2026, on a consolidated basis, we had approximately $1,577.5 million of total indebtedness outstanding, $495.7 million of which was secured indebtedness of our wholly-owned subsidiary, TCF, under the KeyBank Credit Facility, $174.9 million of which was secured indebtedness of our wholly-owned subsidiary, TF3, under the KeyBank Secured Term Loan Facility, and $906.9 million of which was unsecured indebtedness. Such unsecured indebtedness reflects the outstanding aggregate principal amount of the Existing Notes. See “Capitalization” in this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Optional Redemption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             (             month(s) prior to their maturity date) (the “Par Call Date”), we may redeem the Notes at our option, in whole or in part, at any time and from time to time, at a redemption price (expressed as a percentage of principal amount and rounded to three decimal places) equal to the greater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100% of the principal amount of the Notes to be redeemed,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basis points less (b) interest accrued to the date of redemption;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plus, in either case, accrued and unpaid interest thereon to the redemption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or after the Par Call Date, we may redeem the notes, in whole or in part, at any time and from time to time, at a redemption price equal to 100% of the principal amount of the notes being redeemed plus accrued and unpaid interest thereon to the redemption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choose to redeem any of the Notes, we will deliver a notice of redemption to holders of the Notes not less than 10 nor more than 60 days before the redemption date. Any exercise of our option to redeem the Notes will be done in compliance with the 1940 Act. If we are redeeming less than all of the Notes, the particular Notes to be redeemed will be selected by the trustee on a pro rata basis to the extent practicable, or, if a pro rata basis is not practicable for any reason, by lot or in such other manner as the trustee shall deem fair and appropriate, and in any case in accordance with the applicable procedures of DTC and in accordance with the 1940 Act as directed by the Company; provided, however, that no such partial redemption shall reduce the portion of the principal amount of a Note not redeemed to less than $2,000. Unless we default in payment of the redemption price, on and after the redemption date, interest will cease to accrue on the Notes or portions of the Notes called for redemption.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calculating the redemption price in connection with the redemption of the Notes, on any redemption date, the following terms have the meanings set forth below:</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Par Call Date” means            ,             (             month(s) prior to the maturity date of the Notes).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Treasury Rate” means, with respect to any redemption date, the yield determined by us in accordance with the following two paragraphs.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Offer to Repurchase Upon a Change of Control Repurchase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Change of Control Repurchase Event occurs, unless we have exercised our right to redeem the Notes in full, we will make an offer to each holder of the Notes to repurchase all or any part (in minimum denominations of $2,000 and integral multiples of $1,000 principal amount) of that holder’s Notes at a repurchase price in cash equal to 100% of the aggregate principal amount of Notes repurchased plus any accrued and unpaid interest on the Notes repurchased to, but not including,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Change of Control Repurchase Event payment date, subject to extension if necessary to comply with the provisions of the 1940 Act, we will, to the extent lawful:</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accept for payment all Notes or portions of Notes properly tendered pursuant to our offer;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deposit with the paying agent an amount equal to the aggregate purchase price in respect of all Notes or portions of Notes properly tendered;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deliver or cause to be delivered to the trustee the Notes properly accepted, together with an officers’ certificate stating the aggregate principal amount of Notes being purchased by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paying agent will promptly remit to each holder of Notes properly tendered the purchase price for the Notes, and upon receipt of a company order, the trustee will promptly authenticate and mail (or cause to be transferred by book-entry) to each holder a new Note equal in principal amount to any unpurchased portion of any Notes surrendered; provided that each new Note will be in a minimum principal amount of $2,000 or an integral multiple of $1,000 in excess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See “Management’s Discussion and Analysis of Financial Condition and Results of Operations — Financial Condition, Liquidity and Capital Resources” in our Quarterly Report on Form 10-Q for the quarter ended June 30, 2026, which is incorporated by reference herein, for a general discussion of our indebtedness. Before making any such repurchase of Notes, we would also have to comply with certain requirements under the KeyBank Credit Facility and the KeyBank Secured Term Loan Facility, to the extent such requirements remain in effect at such time, or otherwise obtain consent from the lenders under the KeyBank Credit Facility and the KeyBank Secured Term Loan Facility, as applicable. Our future debt instruments may contain similar restrictions and provisions. If the holders of the Notes exercise their right to require us to repurchase Notes upon a Change of Control Repurchase Event, the financial effect of this repurchase could cause a default under our existing or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 — Risks Relating to the Notes — We may not be able to repurchase the Notes upon a Change of Control Repurchase Event” in this prospectus supplement.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definition of “Change of Control”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Notes:</w:t>
      </w:r>
    </w:p>
    <w:p>
      <w:pPr>
        <w:pStyle w:val="TextBody"/>
        <w:keepNext w:val="false"/>
        <w:pageBreakBefore w:val="false"/>
        <w:widowControl/>
        <w:pBdr/>
        <w:bidi w:val="0"/>
        <w:spacing w:before="14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Below Investment Grade Rating Event” means the Notes are downgraded below Investment Grade by the Rating Agency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any of the Rating Agencies); provided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Agency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Change of Control” means the occurrence of any of the following: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provided that, for the avoidance of doubt, a pledge of assets pursuant to any secured debt instrument of the Company or its Controlled Subsidiaries shall not be deemed to be any such sale, lease, transfer, conveyance or disposition;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the Company, measured by voting power rather than number of shares; or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approval by the Company’s stockholders of any plan or proposal relating to the liquidation or dissolution of the Company.</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Change of Control Repurchase Event” means the occurrence of a Change of Control and a Below Investment Grade Rating Event.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Controlled Subsidiary”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Investment Grade” means a rating of Baa3 or better by Moody’s (or its equivalent under any successor rating categories of Moody’s), (or if such Rating Agency ceases to rate the Notes for reasons outside of our control, the equivalent investment grade credit rating from any Rating Agency selected by us as a replacement Rating Agency).</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Moody’s” means Moody’s Investors Service or any successor thereto.</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Permitted Holders” means (i) us or (ii) one or more of our Controlled Subsidiaries.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Rating Agency” means: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Moody’s;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if Moody’s ceases to rate the Notes or fails to make a rating of the Notes publicly available for reasons outside of our control, a “nationally recognized statistical rating organization” as defined in Section (3)(a)(62) of the Exchange Act selected by us as a replacement agency for Moody’s.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Covenants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covenants described in the base indenture, the following covenants shall apply to the Notes.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Merger, Consolidation or Sale of Assets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indenture will provide that we will not merge or consolidate with or into any other person (other than a merger of a wholly owned subsidiary into us), or sell, transfer, lease, convey or otherwise dispose of all or substantially all our property (provided that, for the avoidance of doubt, a pledge of assets pursuant to any secured debt instrument of the Company or its subsidiaries shall not be deemed to be any such sale, transfer, lease, conveyance or disposition;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provided further that this covenant shall not apply to any sale, transfer, lease, conveyance, or other disposition of all or substantially all of the Company’s property to a wholly owned subsidiary of the Company) in any one transaction or series of related transactions unless: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immediately before and immediately after giving effect to such transaction or series of related transactions, no default or event of default shall have occurred and be continuing;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shall deliver, or cause to be delivered, to the trustee, an officers’ certificate and an opinion of counsel, each stating that such transaction and the supplemental indenture, if any, in respect thereto, comply with this covenant, and that all conditions precedent in the indenture relating to such transaction have been complied with.</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Covenants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 Delivery of such financial statements to the trustee is for informational purposes only and the trustee’s receipt of such shall not constitute actual or constructive notice of any information contained therein or determinable from information contained therein, including our compliance with any of our covenants hereunder (as to which the trustee is entitled to rely exclusively on officers’ certificates).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Modification or Waiver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three types of changes we can make to the indenture and the Notes issued thereunder.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Requiring Your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there are changes that we cannot make to your Notes without your specific approval. The following is a list of those types of changes: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the stated maturity of the principal of or interest on the Notes;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any amounts due on the Notes;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amount of principal payable upon acceleration of the maturity of a security following a default;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adversely affect any right of repayment at the holder’s option;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the place (except as otherwise described in the prospectus or prospectus supplement) or currency of payment on a debt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impair your right to sue for payment;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modify the subordination provisions in the indenture in a manner that is adverse to holders of outstanding Notes;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percentage of holders of the Notes whose consent is needed to modify or amend the indenture;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percentage of holders of the Notes whose consent is needed to waive compliance with certain provisions of the indenture or to waive certain defaults;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modify certain of the provisions of the indenture dealing with supplemental indentures, modification and waiver of past defaults, changes to the quorum or voting requirements or the waiver of certain covenants;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any obligation we have to pay additional amounts.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Not Requiring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second type of change does not require any vote by the holders of the Notes. This type is limited to clarifications, establishment of the form or terms of new securities of any series as permitted by the indenture, and certain other changes that would not adversely affect holders of the outstanding Notes in any material respect, including adding additional covenants or events of default. We also do not need any approval to make any change that affects only Notes to be issued under the indenture after the change takes effect.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Requiring Majority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other change to the indenture and the Notes would require the following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change affects only one series of the Notes, it must be approved by the holders of a majority in principal amount of the Notes.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change affects more than one series of the securities issued under the same indenture, it must be approved by the holders of a majority in aggregate principal amount of all of the securities affected by the change, with all affected series voting together as one class for this purpose.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 Changes Requiring Your Approval”.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Further Details Concerning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taking a vote, we will use the following rules to decide how much principal to attribute to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not be considered outstanding, and therefore not eligible to vote, if we have deposited or set aside in trust money for their payment or redemption. The Notes will also not be eligible to vote if they have been fully defeased as described later under “— Defeasance — Legal 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Book-entry and other indirect holders should consult their banks or brokers for information on how approval may be granted or denied if we seek to change the indenture or the Notes or request a waiver.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Events of Default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 following is an event of default: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default in the payment of any interest upon any Notes when due and payable and the default continues for a period of 30 days;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default in the payment of the principal of (or premium, if any, on) any Note when it becomes due and payable at its maturity, including upon any redemption date or required repurchase date;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default by us or any of our significant subsidiaries, as defined in Article 1, Rule 1-02 of Regulation S-X under the Exchange Act (but excluding any subsidiary which is (a) a non-recourse or limited recourse subsidiary, (b) a bankruptcy remote special purpose vehicle or (c) not consolidated with the Company for purposes of GAAP), after giving effect to any applicable grace periods and any applicable extensions, with respect to any mortgage, agreement or other instrument under which there may be outstanding, or by which there may be secured or evidenced, any indebtedness for money borrowed in excess of $50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certain events of bankruptcy, insolvency, or reorganization involving us occur and remain undischarged or unstayed for a period of 60 consecutive days.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event of default occurs and is continuing,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holder of Notes will have any right to institute any proceeding, judicial or otherwise, with respect to the indenture, or for the appointment of a receiver or trustee, or for any other remedy under the indenture, unless: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such holder has previously given written notice to the trustee of a continuing event of default with respect to the Notes;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holders of not less than 25% in principal amount of the outstanding Notes shall have made written request to the trustee to institute proceedings in respect of such event of default;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such holder or holders have offered to the trustee security and/or indemnity satisfactory to the trustee against the costs, expenses and liabilities to be incurred in compliance with such request;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 trustee for 60 days after its receipt of such notice, request and offer of security and/or indemnity has failed to institute any such proceeding;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no direction inconsistent with such written request has been given to the trustee during such 60-day period by the holders of a majority in principal amount of the outstanding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trustee shall be under no obligation to exercise any of the rights or powers vested in it by the indenture at the request or direction of any of the holders of the Notes unless such holders shall have offered to the trustee security and/or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provided that (i) such direction shall not be in conflict with any rule of law or with the indenture, (ii) the trustee may take any other action deemed proper by the trustee that is not inconsistent with such direction and (iii) the trustee need not take any action that may involve it in personal liability or be unjustly prejudicial (it being understood that the trustee does not have an affirmative duty to ascertain whether or not any such directions are unduly prejudicial to such holders) to the holders of Notes not consenting.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of the Notes,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90 days after the occurrence of any default under the indenture with respect to the Notes, the trustee shall transmit notice of such default actually known to a responsible officer of the trustee, unless such default shall have been cured or waived; provided, however, that, except in the case of a default in the payment of the principal of (or premium, if any, on) or interest, if any, on any of the Notes, the trustee shall be protected in withholding such notice if and so long as it in good faith determines that withholding of such notice is in the interest of the holders of the Notes.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Satisfaction and Discharge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satisfy and discharge our obligations under the indenture by delivering to the securities registrar for cancellation all outstanding Notes or by depositing with the trustee, in trust, funds in U.S. dollars in an amount sufficient to pay all of the outstanding Notes after the Notes have become due and payable or will become due and payable within one year (or scheduled for redemption within one year). Such discharge is subject to terms contained in the indenture.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be subject to covenant defeasance and legal defeasance.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Covenant 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certain conditions are satisfied,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we must do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deposit in trust for the benefit of all holders of the Notes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deliver to the trustee a legal opinion of our counsel confirming that, under current U.S. federal income tax law, we may make the above deposit without causing you to recognize income, gain, or loss for U.S. federal income tax purposes as a result of such covenant defeasance or to be taxed on the Notes any differently than if we did not make the deposit and repaid the Notes at maturity.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deliver to the trustee a legal opinion and officers’ certificate stating that all conditions precedent to covenant defeasance have been complied with.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accomplished covenant defeasance, you can still look to us for repayment of the Notes if there were a shortfall in the trust deposit or the trustee is prevented from making payment. For example, if one of the remaining Events of Default occurred (such as our bankruptcy) and the Notes became immediately due and payable, there might be a shortfall. Depending on the event causing the default, you may not be able to obtain payment of the shortfall.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a change in U.S. federal tax law, as described below, we can legally release ourselves from all payment and other obligations on the Notes (called “defeasance” or “legal defeasance”) if we put in place the following other arrangements for you to be repaid: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deposit in trust for the benefit of all holders of the Notes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We must deliver to the trustee a legal opinion confirming that there has been a change in current U.S. federal tax law or an IRS ruling that allows us to make the above deposit without causing you to recognize income, gain, or loss for U.S. federal income tax purposes as a result of such defeasance or to be taxed on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any differently than if we did not make the deposit and repaid the Notes at maturity. Under current U.S. federal tax law, the deposit and our legal release from the Notes would be treated as though we paid you your share of the cash and notes or bonds at the time the cash and notes or bonds were deposited in trust in exchange for your Notes and you would recognize gain or loss on the Notes at the time of the deposit.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and officers’ certificate stating that all conditions precedent to defeasance have been complied with.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ever accomplished legal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Trustee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Bank Trust Company, National Association is the trustee, security registrar and paying agent. U.S. Bank Trust Company, National Association, in each of its capacities, including without limitation as trustee, security registrar and paying agent, assumes no responsibility for the accuracy or completeness of the information concerning us or our affiliates or any other party contained in this prospectus supplement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maintain banking relationships in the ordinary course of business with the trustee and its affiliates.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Resignation of Trustee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trustee may resign or be removed with respect to the Notes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Governing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provides that it and the Notes shall be governed by and construed in accordance with the laws of the State of New York, without regard to principles of conflicts of laws that would cause the application of laws of another jurisdiction.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Book-Entry, Settlement and Clearance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Global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Ownership of beneficial interests in a Global Note will be limited to persons who have accounts with DTC (“DTC participants”) or persons who hold interests through DTC participants. We expect that under procedures established by DTC: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deposit of a Global Note with DTC’s custodian, DTC will credit portions of the principal amount of the Global Note to the accounts of the DTC participants designated by the underwriters;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interests in Global Notes may not be exchanged for Notes in physical, certificated form except in the limited circumstances described below.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Book-Entry Procedures for Global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the underwriters are responsible for those operations or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has advised us that it is: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limited purpose trust company organized under the laws of the State of New York;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“banking organization” within the meaning of the New York State Banking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member of the Federal Reserve System;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“clearing corporation” within the meaning of the Uniform Commercial Code;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“clearing agency” registered under Section 17A of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not be entitled to have Notes represented by the Global Note registered in their names;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not receive or be entitled to receive physical, certificated Notes;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not be considered the owners or holders of the Notes under the indenture for any purpose, including with respect to receiving notices or the giving of any direction, instruction or approval to the trustee under the indenture.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principal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or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Transfers between participants in DTC will be effected under DTC’s procedures and will be settled in same-day funds.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Certificated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in physical, certificated form will be issued and delivered to each person that DTC identifies as a beneficial owner of the related Notes only if: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DTC notifies us at any time that it is unwilling or unable to continue as depositary for the Global Notes and a successor depositary is not appointed within 90 days;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DTC ceases to be registered as a clearing agency under the Exchange Act and a successor depositary is not appointed within 90 days;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event of default with respect to the Notes has occurred and is continuing and such beneficial owner requests that its Notes be issued in physical, certificated form.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610"/>
      <w:bookmarkEnd w:id="13"/>
      <w:r>
        <w:rPr>
          <w:rFonts w:ascii="Times New Roman PS Std;serif" w:hAnsi="Times New Roman PS Std;serif"/>
          <w:b/>
          <w:i w:val="false"/>
          <w:caps w:val="false"/>
          <w:smallCaps w:val="false"/>
          <w:sz w:val="20"/>
        </w:rPr>
        <w:t xml:space="preserve">UNDERWRITING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Keefe, Bruyette &amp; Woods, Inc. and MUFG Securities Americas Inc. are acting as the representatives of the several underwriters in this offering. We have entered into an underwriting agreement with Keefe, Bruyette &amp; Woods, Inc. and MUFG Securities Americas Inc. as representatives on behalf of the several underwriters. Subject to the terms and conditions of the underwriting agreement, we have agreed to sell to the underwriters, and each underwriter has severally agreed to purchase, at the public offering price less the underwriting discounts set forth on the cover page of this prospectus supplement, the aggregate principal amount of Notes set forth below:</w:t>
      </w:r>
    </w:p>
    <w:tbl>
      <w:tblPr>
        <w:tblW w:w="4617" w:type="dxa"/>
        <w:jc w:val="left"/>
        <w:tblInd w:w="0" w:type="dxa"/>
        <w:tblLayout w:type="fixed"/>
        <w:tblCellMar>
          <w:top w:w="0" w:type="dxa"/>
          <w:left w:w="0" w:type="dxa"/>
          <w:bottom w:w="0" w:type="dxa"/>
          <w:right w:w="0" w:type="dxa"/>
        </w:tblCellMar>
      </w:tblPr>
      <w:tblGrid>
        <w:gridCol w:w="3091"/>
        <w:gridCol w:w="146"/>
        <w:gridCol w:w="752"/>
        <w:gridCol w:w="628"/>
      </w:tblGrid>
      <w:tr>
        <w:trPr/>
        <w:tc>
          <w:tcPr>
            <w:tcW w:w="30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Principal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Amount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Notes to be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Purchased</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Keefe, Bruyette &amp; Woods, Inc.</w:t>
            </w:r>
          </w:p>
        </w:tc>
        <w:tc>
          <w:tcPr>
            <w:tcW w:w="146"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8" w:type="dxa"/>
            <w:tcBorders/>
            <w:shd w:fill="CCEEFF" w:val="clear"/>
            <w:vAlign w:val="bottom"/>
          </w:tcPr>
          <w:p>
            <w:pPr>
              <w:pStyle w:val="TableContents"/>
              <w:bidi w:val="0"/>
              <w:spacing w:before="0" w:after="283"/>
              <w:jc w:val="left"/>
              <w:rPr/>
            </w:pPr>
            <w:r>
              <w:rPr/>
              <w:t> </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MUFG Securities Americas Inc.</w:t>
            </w:r>
          </w:p>
        </w:tc>
        <w:tc>
          <w:tcPr>
            <w:tcW w:w="146" w:type="dxa"/>
            <w:tcBorders/>
            <w:vAlign w:val="bottom"/>
          </w:tcPr>
          <w:p>
            <w:pPr>
              <w:pStyle w:val="TableContents"/>
              <w:bidi w:val="0"/>
              <w:spacing w:before="0" w:after="283"/>
              <w:jc w:val="left"/>
              <w:rPr/>
            </w:pPr>
            <w:r>
              <w:rPr/>
              <w:t> </w:t>
            </w:r>
          </w:p>
        </w:tc>
        <w:tc>
          <w:tcPr>
            <w:tcW w:w="7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8" w:type="dxa"/>
            <w:tcBorders/>
            <w:vAlign w:val="bottom"/>
          </w:tcPr>
          <w:p>
            <w:pPr>
              <w:pStyle w:val="TableContents"/>
              <w:bidi w:val="0"/>
              <w:spacing w:before="0" w:after="283"/>
              <w:jc w:val="left"/>
              <w:rPr/>
            </w:pPr>
            <w:r>
              <w:rPr/>
              <w:t> </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75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2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are committed to purchase all the Notes offered by us if they purchase any Notes. The underwriting agreement also provides that if an underwriter defaults, the purchase commitments of the non-defaulting underwriters may be increased or the offering may be terminated.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indemnify the underwriters against certain liabilities, including liabilities under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Commissions and Discounts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propose to offer some of the Notes to the public at the public offering price set forth on the cover page of this prospectus supplement and some of the Notes to certain other dealers at the public offering price less a concession not in excess of            % of the aggregate principal amount of the Notes. The underwriters may allow, and the dealers may reallow, a discount not in excess of            % of the aggregate principal amount of the Notes. After the initial offering of the Notes to the public, the public offering price and other selling terms may be changed. No such change shall change the amount of proceeds to be received by us as set forth on the cover page of this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the public offering price, underwriting discount and proceeds before estimated expenses to us.</w:t>
      </w:r>
    </w:p>
    <w:tbl>
      <w:tblPr>
        <w:tblW w:w="6700" w:type="dxa"/>
        <w:jc w:val="left"/>
        <w:tblInd w:w="0" w:type="dxa"/>
        <w:tblLayout w:type="fixed"/>
        <w:tblCellMar>
          <w:top w:w="0" w:type="dxa"/>
          <w:left w:w="0" w:type="dxa"/>
          <w:bottom w:w="0" w:type="dxa"/>
          <w:right w:w="0" w:type="dxa"/>
        </w:tblCellMar>
      </w:tblPr>
      <w:tblGrid>
        <w:gridCol w:w="4336"/>
        <w:gridCol w:w="146"/>
        <w:gridCol w:w="1051"/>
        <w:gridCol w:w="146"/>
        <w:gridCol w:w="612"/>
        <w:gridCol w:w="409"/>
      </w:tblGrid>
      <w:tr>
        <w:trPr/>
        <w:tc>
          <w:tcPr>
            <w:tcW w:w="43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Note</w:t>
            </w:r>
          </w:p>
        </w:tc>
        <w:tc>
          <w:tcPr>
            <w:tcW w:w="146" w:type="dxa"/>
            <w:tcBorders/>
            <w:vAlign w:val="bottom"/>
          </w:tcPr>
          <w:p>
            <w:pPr>
              <w:pStyle w:val="TableContents"/>
              <w:bidi w:val="0"/>
              <w:spacing w:before="0" w:after="283"/>
              <w:jc w:val="left"/>
              <w:rPr/>
            </w:pPr>
            <w:r>
              <w:rPr/>
              <w:t> </w:t>
            </w:r>
          </w:p>
        </w:tc>
        <w:tc>
          <w:tcPr>
            <w:tcW w:w="10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43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offering price</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09" w:type="dxa"/>
            <w:tcBorders/>
            <w:shd w:fill="CCEEFF" w:val="clear"/>
            <w:vAlign w:val="bottom"/>
          </w:tcPr>
          <w:p>
            <w:pPr>
              <w:pStyle w:val="TableContents"/>
              <w:bidi w:val="0"/>
              <w:spacing w:before="0" w:after="283"/>
              <w:jc w:val="left"/>
              <w:rPr/>
            </w:pPr>
            <w:r>
              <w:rPr/>
              <w:t> </w:t>
            </w:r>
          </w:p>
        </w:tc>
      </w:tr>
      <w:tr>
        <w:trPr/>
        <w:tc>
          <w:tcPr>
            <w:tcW w:w="43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discount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09" w:type="dxa"/>
            <w:tcBorders/>
            <w:vAlign w:val="bottom"/>
          </w:tcPr>
          <w:p>
            <w:pPr>
              <w:pStyle w:val="TableContents"/>
              <w:bidi w:val="0"/>
              <w:spacing w:before="0" w:after="283"/>
              <w:jc w:val="left"/>
              <w:rPr/>
            </w:pPr>
            <w:r>
              <w:rPr/>
              <w:t> </w:t>
            </w:r>
          </w:p>
        </w:tc>
      </w:tr>
      <w:tr>
        <w:trPr/>
        <w:tc>
          <w:tcPr>
            <w:tcW w:w="43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to us, before estimated expenses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09"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expenses payable by us in connection with this offering, other than underwriting discounts and commissions, will be approximately $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Sales of Similar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we have agreed not to, directly or indirectly, offer, pledge, sell, contract to sell, grant any option to purchase, make any short sale, or otherwise transfer or dispose of any securities that are substantially similar to the Notes or file or confidentially submit any registration statement under the Securities Act relating to such securities until the settlement date of this offering without first obtaining the written consent of the representatives. This consent may be given at any time without public notice.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are a new issue of securities with no established trading market. The Notes will not be listed on any securities exchange or quoted on any automated dealer quotation 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been advised by certain of the underwriters that they presently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Price Stabilization and Short Positions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offering, the underwriters may purchase and sell the Notes in the open market. These transactions may include over-allotment, covering transactions and stabilizing transactions. Over-allotment involves sales of securities in excess of the aggregate principal amount of securities to be purchased by the underwriters in the offering, which creates a short position for the underwriters. Covering transactions involve purchases of the securities in the open market after the distribution has been completed in order to cover short positions. Stabilizing transactions consist of certain bids or purchases of securities made for the purpose of preventing or retarding a decline in the market price of the securities while the offering is in progress.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may also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Electronic Offer, Sale and Distribution of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may make prospectuses available in electronic (PDF) format. A prospectus in electronic (PDF) format may be made available on web sites maintained by the underwriters, and the underwriters may distribute such prospectuses electronically.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Relationships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Certain of the underwriters and their affiliates were underwriters in connection with the offering of certain of the Existing Notes and our other securities offerings, for which they have received customary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or instruments of us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 policies. Typically,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or their respective affiliates may also trade in our securities, securities of our portfolio companies or other financial instruments related thereto for their own accounts or for the account of others and may extend loans or financing directly or through derivative transactions to the Trinity Capital Adviser LLC or any of our portfolio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Affiliates of certain of the underwriters in this offering act as lenders under the KeyBank Credit Facility and the KeyBank Secured Term Loan Facility. As described in the section entitled “Use of Proceeds”, we may use net proceeds of this offering to repay a portion of the outstanding indebtedness under the KeyBank Credit Facility. Certain of the net proceeds from the sale of the Notes, not including underwriting compensation, may be paid to such affiliates of certain of the underwriters in connection with the repayment of debt owed under the KeyBank Credit Facility. As a result, certain of the underwriters and/or their affiliates may receive more than 5% of the net proceeds of this offering, not including underwriting compensation.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Settlement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that delivery of the Notes will be made to investors on or about            , 2026, which will be the            business day following the date hereof. Under Rule 15c6-1 of the Exchange Act trades in the secondary market generally are required to settle in one business day, unless the parties to any such trade expressly agree otherwise. Accordingly, purchasers who wish to trade the Notes prior to the business day before the date of delivery will be required, by virtue of the fact that the Notes initially will settle T+            , to specify an alternate settlement cycle at the time of any such trade to prevent a failed settlement. Purchasers of the Notes who wish to trade the Notes prior to the business day before the date of delivery should consult their own advisor.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Principal Business Addresses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business address of Keefe, Bruyette &amp; Woods, Inc. is 787 Seventh Avenue, Fourth Floor, New York, New York 10019. The principal business address of MUFG Securities Americas Inc. is 1221 Avenue of the Americas, 6th Floor, New York, New York 10020.</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Jurisdictions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in the United States, no action has been taken by us or the underwriters that would permit a public offering of the Notes offered by this prospectus supplement and the accompanying prospectus in any jurisdiction where action for that purpose is required. The Notes offered by this prospectus supplement and the accompanying prospectus may not be offered or sold, directly or indirectly, nor may this prospectus supplement and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comes are advised to inform themselves about and to observe any restrictions relating to the offering and the distribution of this prospectus. This prospectus supplement and the accompanying prospectus do not constitute an offer to sell or a solicitation of an offer to buy any Notes offered by this prospectus supplement and the accompanying prospectus in any jurisdiction in which such an offer or a solicitation is unlawful.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the Prospective Investors in the European Economic Area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relation to each European Economic Area Member State (each a “Relevant Member State”), no notes have been offered or will be offered pursuant to this offering to the public in that Relevant Member State prior to the publication of a prospectus in relation to the Notes which has been approved by the competent authority in that Relevant Member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or, where appropriate, approved in another Relevant Member State and notified to the competent authority in that Relevant Member State, all in accordance with the Prospectus Regulation (as defined below), except that the Notes may be offered to the public in that Relevant Member State at any time: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any legal entity which is a qualified investor as defined under Article 2 of the Prospectus Regulation;</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fewer than 150 natural or legal persons (other than qualified investors as defined under Article 2 of the Prospectus Regulation) subject to obtaining the prior consent of the underwriters for any such offer; or</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in any other circumstances falling within Article 1(4) of the Prospectus Regulation,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provided that no such offer of the Notes shall require the Company or any bank to publish a prospectus pursuant to Article 3 of the Prospectus Regulation or supplement a prospectus pursuant to Article 23 of the Prospectus Regulation.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provision, the expression an ‘offer to the public’ in relation to the Notes in any Relevant Member State means the communication in any form and by any means of sufficient information on the terms of the offer and any notes to be offered so as to enable an investor to decide to purchase any notes, and the expression “Prospectus Regulation” means Regulation (EU) 2017/1129.</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person in a Relevant Member State who receives any communication in respect of, or who acquires any notes under, this offering contemplated hereby will be deemed to have represented, warranted and agreed to and with each of the underwriters and their affiliates and the Company that:</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it is a qualified investor within the meaning of the Prospectus Regulation; and</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in the case of any notes acquired by it as a financial intermediary, as that term is used in Article 5 of the Prospectus Regulation, (i) the Notes acquired by it in this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underwriters has been given to the offer or resale; or (ii) where the Notes have been acquired by it on behalf of persons in any Relevant Member State other than qualified investors, the offer of those notes to it is not treated under the Prospectus Regulation as having been made to such persons.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key information document required by Regulation (EU) No 1286/2014 (as amended, the “PRIIPs Regulation”) for offering or selling the Notes or otherwise making them available to retail investors in a Relevant Member State has been prepared and therefore offering or selling the Notes or otherwise making them available to any retail investor in a Relevant Member State may be unlawful under the PRIIPs Regulation.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the underwriters and their affiliates, and others will rely upon the truth and accuracy of the foregoing representation, acknowledgement and agreement. Notwithstanding the above, a person who is not a qualified investor and who has notified the underwriters of such fact in writing may, with the prior consent of the underwriters, be permitted to acquire notes in this offering.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the United Kingdom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are not intended to be offered, sold or otherwise made available to and should not be offered, sold or otherwise made available to any retail investor in the United Kingdom. For the purposes of this provision: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expression “retail investor” means a person who is one (or more) of the following:</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 retail client as defined in point (8) of Article 2 of Regulation (EU) No 2017/565 as it forms part of domestic law by virtue of the European Union (Withdrawal) Act 2018 (“EUWA”); or</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 customer within the meaning of the provisions of the Financial Services and Markets Act 2000 (as amended, the “FSMA”) of the United Kingdom and any rules or regulations made under the FSMA to implement Directive (EU) 2016/97, where that customer would not qualify as a professional client, as defined in point (8) of Article 2(1) of Regulation (EU) No 600/2014 as it forms part of domestic law by virtue of the EUWA;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not a qualified investor as defined in paragraph 15 of Schedule 1 to The Public Offers and Admissions to Trading Regulations 2024 (the “POAT Regulations”);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expression “offer” includes the communication in any form and by any means of sufficient information on the terms of the offer and the Notes to be offered so as to enable an investor to decide to purchase or subscribe for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Consequently, no disclosure document required by the UK Financial Conduct Authority (“FCA”) Product Disclosure Sourcebook (the “DISC Sourcebook”) for offering, selling, or distributing the Notes or otherwise making them available to retail investors in the UK has been prepared and therefore offering, selling or distributing the Notes or otherwise making them available to any retail investor in the UK may be unlawful under the DISC Sourcebook and the Consumer Composite Investments (Designed Activities) Regulations 2024. This prospectus supplement has been prepared on the basis that any offer of Notes in the UK will be made pursuant to an exemption under the POAT Regulations from the requirement to publish a prospectus for offers of Notes. This prospectus supplement is not a prospectus for the purposes of the POAT Regulations or the Admission to Trading on a Regulated Market Sourcebook of the FCA Handbook, has not been approved by the FCA and should not be relied on and should not be construed as an offer (or any form of marketing).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and any other material in relation to the Notes is only being distributed to, and is directed only at, persons in the United Kingdom who are “qualified investors” (as defined in the UK Prospectus Regulation) who are also (i) investment professionals falling within Article 19(5) of the Financial Services and Markets Act 2000 (Financial Promotion) Order 2005 (as amended, the “Order”), or (ii) high net worth entities or other persons falling within Articles 49(2)(a) to (d) of the Order, or (iii) persons to whom it would otherwise be lawful to distribute it, all such persons together being referred to as “Relevant Persons”. The Notes are only available to, and any invitation, offer or agreement to subscribe, purchase or otherwise acquire such Notes will be engaged in only with, Relevant Persons. This prospectus supplement and its contents are confidential and should not be distributed, published or reproduced (in whole or in part) or disclosed by any recipients to any other person in the United Kingdom. Any person in the United Kingdom that is not a Relevant Person should not act or rely on this prospectus supplement or its contents. The Notes are not being offered to the public in the United Kingdom.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the United Kingdom, each underwriter has represented and agreed the Notes may not be offered other than by an underwriter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has complied and will comply with all applicable provisions of the FSMA with respect to anything done by it in relation to the Notes in, from or otherwise involving the United Kingdom.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Canada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or on the merits of the Notes and any representation to the contrary is an offence.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Canadian investors are advised that this prospectus has been prepared in reliance on section 3A.3 of National Instrument 33-105</w:t>
      </w:r>
      <w:r>
        <w:rPr>
          <w:rFonts w:ascii="Times New Roman PS Std;serif" w:hAnsi="Times New Roman PS Std;serif"/>
          <w:b w:val="false"/>
          <w:i w:val="false"/>
          <w:caps w:val="false"/>
          <w:smallCaps w:val="false"/>
          <w:sz w:val="20"/>
        </w:rPr>
        <w:t> </w:t>
      </w:r>
      <w:r>
        <w:rPr>
          <w:rFonts w:ascii="Times New Roman PS Std;serif" w:hAnsi="Times New Roman PS Std;serif"/>
          <w:b/>
          <w:i/>
          <w:caps w:val="false"/>
          <w:smallCaps w:val="false"/>
          <w:sz w:val="20"/>
        </w:rPr>
        <w:t>Underwriting Conflicts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(“NI 33-105</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Resale Restrictions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Representations of Purchasers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w:t>
      </w:r>
      <w:r>
        <w:rPr>
          <w:rFonts w:ascii="Times New Roman PS Std;serif" w:hAnsi="Times New Roman PS Std;serif"/>
          <w:b w:val="false"/>
          <w:i/>
          <w:caps w:val="false"/>
          <w:smallCaps w:val="false"/>
          <w:sz w:val="20"/>
        </w:rPr>
        <w:t>Prospectus Exemptions</w:t>
      </w:r>
      <w:r>
        <w:rPr>
          <w:rFonts w:ascii="Times New Roman PS Std;serif" w:hAnsi="Times New Roman PS Std;serif"/>
          <w:b w:val="false"/>
          <w:i w:val="false"/>
          <w:caps w:val="false"/>
          <w:smallCaps w:val="false"/>
          <w:sz w:val="20"/>
        </w:rPr>
        <w:t xml:space="preserve"> or, in Ontario, as such term is defined in section 73.3(1) of the </w:t>
      </w:r>
      <w:r>
        <w:rPr>
          <w:rFonts w:ascii="Times New Roman PS Std;serif" w:hAnsi="Times New Roman PS Std;serif"/>
          <w:b w:val="false"/>
          <w:i/>
          <w:caps w:val="false"/>
          <w:smallCaps w:val="false"/>
          <w:sz w:val="20"/>
        </w:rPr>
        <w:t>Securities Act</w:t>
      </w:r>
      <w:r>
        <w:rPr>
          <w:rFonts w:ascii="Times New Roman PS Std;serif" w:hAnsi="Times New Roman PS Std;serif"/>
          <w:b w:val="false"/>
          <w:i w:val="false"/>
          <w:caps w:val="false"/>
          <w:smallCaps w:val="false"/>
          <w:sz w:val="20"/>
        </w:rPr>
        <w:t xml:space="preserve"> (Ontario); and (iii) a “permitted client” as such term is defined in section 1.1 of National Instrument 31-103 </w:t>
      </w:r>
      <w:r>
        <w:rPr>
          <w:rFonts w:ascii="Times New Roman PS Std;serif" w:hAnsi="Times New Roman PS Std;serif"/>
          <w:b w:val="false"/>
          <w:i/>
          <w:caps w:val="false"/>
          <w:smallCaps w:val="false"/>
          <w:sz w:val="20"/>
        </w:rPr>
        <w:t>Registration Requirements, Exemptions and Ongoing Registrant Obligations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and Eligibility for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discussion of taxation and related matters contained in this prospectus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Rights of Action for Damages or Rescission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Securities legislation in certain of the Canadian jurisdictions provides certain purchasers of securities pursuant to an offering memorandum (such as this prospectus), including where the distribution involves an “eligible foreign security” as such term is defined in Ontario Securities Commission Rule 45-501 </w:t>
      </w:r>
      <w:r>
        <w:rPr>
          <w:rFonts w:ascii="Times New Roman PS Std;serif" w:hAnsi="Times New Roman PS Std;serif"/>
          <w:b w:val="false"/>
          <w:i/>
          <w:caps w:val="false"/>
          <w:smallCaps w:val="false"/>
          <w:sz w:val="20"/>
        </w:rPr>
        <w:t>Ontario Prospectus and Registration Exemptions</w:t>
      </w:r>
      <w:r>
        <w:rPr>
          <w:rFonts w:ascii="Times New Roman PS Std;serif" w:hAnsi="Times New Roman PS Std;serif"/>
          <w:b w:val="false"/>
          <w:i w:val="false"/>
          <w:caps w:val="false"/>
          <w:smallCaps w:val="false"/>
          <w:sz w:val="20"/>
        </w:rPr>
        <w:t xml:space="preserve"> and in Multilateral Instrument 45-107 </w:t>
      </w:r>
      <w:r>
        <w:rPr>
          <w:rFonts w:ascii="Times New Roman PS Std;serif" w:hAnsi="Times New Roman PS Std;serif"/>
          <w:b w:val="false"/>
          <w:i/>
          <w:caps w:val="false"/>
          <w:smallCaps w:val="false"/>
          <w:sz w:val="20"/>
        </w:rPr>
        <w:t>Listing Representation and Statutory Rights of Action Disclosure Exemptions</w:t>
      </w:r>
      <w:r>
        <w:rPr>
          <w:rFonts w:ascii="Times New Roman PS Std;serif" w:hAnsi="Times New Roman PS Std;serif"/>
          <w:b w:val="false"/>
          <w:i w:val="false"/>
          <w:caps w:val="false"/>
          <w:smallCaps w:val="false"/>
          <w:sz w:val="20"/>
        </w:rPr>
        <w:t>,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Language of Documents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Times New Roman PS Std;serif" w:hAnsi="Times New Roman PS Std;serif"/>
          <w:b w:val="false"/>
          <w:i/>
          <w:caps w:val="false"/>
          <w:smallCaps w:val="false"/>
          <w:sz w:val="20"/>
        </w:rPr>
        <w:t>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Singapore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prospectus has not been registered as a prospectus with the Monetary Authority of Singapore. Accordingly, this prospectus and any other document or material in connection with the offer or sale, or invitation for subscription or purchase, of the notes may not be circulated or distributed, nor may the notes be offered or sold, or be made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of an invitation for subscription or purchase, whether directly or indirectly, to persons in Singapore other than (i) to an institutional investor (as defined in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the notes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notes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the notes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notes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Singapore Securities and Futures Act Product Classification — </w:t>
      </w:r>
      <w:r>
        <w:rPr>
          <w:rFonts w:ascii="Times New Roman PS Std;serif" w:hAnsi="Times New Roman PS Std;serif"/>
          <w:b w:val="false"/>
          <w:i w:val="false"/>
          <w:caps w:val="false"/>
          <w:smallCaps w:val="false"/>
          <w:sz w:val="20"/>
        </w:rPr>
        <w:t>Solely for the purposes of its obligations pursuant to sections 309B(1)(a) and 309B(1)(c) of the SFA, the Company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Israel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action has been, or will be, taken in Israel that would permit an offering of the Notes or a distribution of this prospectus supplement and the accompanying prospectus to the public in Israel. In particular, neither the prospectus supplement nor the accompanying prospectus has been reviewed or approved by the Israel Securities Authority. The Notes are being offered to a limited number of qualified investors listed on the first addendum of the Securities Law (a “Qualified Investor”), in all cases under the circumstances that will fall within the private placement exemption of the Israeli Securities Law of 1968 (“Securities Law”). This prospectus supplement and the accompanying prospectus may not be reproduced or used for any other purpose, nor be furnished to any other person other than those to whom copies have been sent. Any investor in the Notes shall be required to declare in writing prior to such purchase that it qualifies as a Qualified Investor, agrees to be deemed a Qualified Investor, and is aware of the consequences of being classified as a Qualified Investor, that it will comply with the guidelines of the Israel Securities Authority with respect to the sale or offer of securities to Qualified Investors (including those published on September 21, 2014), and that it is purchasing the Notes for its own benefit and on its own account and not with the aim or intention of distributing or offering the Notes to other parties. Nothing in this prospectus supplement or the accompanying prospectus should be considered ‘investment advice’, or ‘investment marketing’ as defined in the Regulation of Investment Advice, Investment Marketing and Portfolio Management Law of 1995. Any investor who purchases the Notes shall be required to declare in writing that it has the knowledge, expertise and experience in financial and business matters so as to be capable of evaluating the risks and merits of an investment in the Notes, without relying on any of the materials provided.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Hong Kong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Warning — The contents of this prospectus supplement have not been reviewed, approved or endorsed by any regulatory authority in Hong Kong. You are advised to exercise caution in relation to the offer. If you are in any doubt about any of the contents of this prospectus supplement, you should obtain independent professional advice.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have not been offered or sold and will not be offered or sold in Hong Kong, by means of any document, other than (a) to “professional investors” as defined in the Securities and Futures Ordinance (Chapter 571 of the Laws of Hong Kong) (“SFO”) and any rules made under the SFO, including the Securities and Futures (Professional Investor) Rules (Chapter 571D of the Laws of Hong Kong); or (b) in other circumstances which do not result in the document being a “prospectus” as defined in the Companies (Winding Up and Miscellaneous Provisions) Ordinance (Chapter 32 of the Laws of Hong Kong) (“CWUMPO”) or which do not constitute an offer to the public within the meaning of the CWUMPO.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laws of Hong Kong) other than with respect to Notes which are or are intended to be disposed of only to persons outside Hong Kong or only to “professional investors” as defined in the SFO and any rules made under the SFO. This prospectus supplement is intended solely for the use of the person to whom it has been delivered for the purpose of evaluating a possible investment by the recipient in the Notes described herein, and is not to be reproduced or distributed to any other persons (other than professional advisors of the prospective investor receiving this prospectus supplement).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Saudi Arabia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may not be distributed in the Kingdom of Saudi Arabia except to such persons as are permitted under the Rules on the Offer of Securities and Continuing Obligations as issued by the board of the Saudi Arabian Capital Market Authority (“CMA”) pursuant to resolution number 3-123-2017 dated 9/4/1439H (corresponding to 27/12/2017G) as amended by resolution number 1-104-2019 dated 01/02/1441H (corresponding to 30/09/2019G), as amended. The CMA does not make any representation as to the accuracy or completeness of this prospectus supplement and expressly disclaims any liability whatsoever for any loss arising from, or incurred in reliance upon, any part of this prospectus supplement. Prospective purchasers of the Notes offered hereby should conduct their own due diligence on the accuracy of the information relating to the Notes. If you do not understand the contents of this prospectus supplement, you should consult an authorized financial advisor.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611"/>
      <w:bookmarkEnd w:id="14"/>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Notes offered hereby and certain legal matters for us in connection with the offering will be passed upon for us by Dechert LLP. Certain legal matters in connection with the offering will be passed upon for the underwriters by Ropes &amp; Gray LLP.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612"/>
      <w:bookmarkEnd w:id="15"/>
      <w:r>
        <w:rPr>
          <w:rFonts w:ascii="Times New Roman PS Std;serif" w:hAnsi="Times New Roman PS Std;serif"/>
          <w:b/>
          <w:i w:val="false"/>
          <w:caps w:val="false"/>
          <w:smallCaps w:val="false"/>
          <w:sz w:val="20"/>
        </w:rPr>
        <w:t xml:space="preserve">INCORPORATION OF CERTAIN INFORMATION BY REFERENCE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is part of a registration statement that we have filed with the SEC. We are allowed to “incorporate by reference” the information that we file with the SEC, which means that we can disclose important information to you by referring you to such information incorporated by reference. The information incorporated by reference is considered to comprise a part of this prospectus supplement from the date we file any such document. Any reports filed by us with the SEC subsequent to the date of this prospectus supplement and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incorporate by reference into this prospectus supplement our filings listed below and any future filings that we may file with the SEC under Sections 13(a), 13(c), 14 or 15(d) of the Exchange Act, subsequent to the date of this prospectus supplement until all of the securities offered by this prospectus supplement have been sold or we otherwise terminate the offering of those securities; provided, however, that information “furnished” under Item 2.02 or Item 7.01 of Form 8-K or other information “furnished” to the SEC which is not deemed filed is not incorporated by reference in this prospectus supplement and any accompanying prospectus. Information that we file with the SEC subsequent to the date of this prospectus supplement will automatically update and may supersede information in this prospectus supplement, and other information previously filed with the SEC.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supplement incorporates by reference the documents set forth below that have been previously filed with the SEC:</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Annual Report on </w:t>
      </w:r>
      <w:hyperlink r:id="rId3">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fiscal year ended December 31, 2025, filed with the SEC on February 25,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Definitive Proxy Statement on </w:t>
      </w:r>
      <w:hyperlink r:id="rId4">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filed with the SEC on April 30,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Quarterly Reports on Form 10-Q for the fiscal quarters ended March 31, 2026 and June 30, 2026, filed with the SEC on </w:t>
      </w:r>
      <w:hyperlink r:id="rId5">
        <w:r>
          <w:rPr>
            <w:rStyle w:val="InternetLink"/>
            <w:rFonts w:ascii="Times New Roman PS Std;serif" w:hAnsi="Times New Roman PS Std;serif"/>
            <w:b w:val="false"/>
            <w:i w:val="false"/>
            <w:caps w:val="false"/>
            <w:smallCaps w:val="false"/>
            <w:sz w:val="20"/>
          </w:rPr>
          <w:t>May 6, 2026</w:t>
        </w:r>
      </w:hyperlink>
      <w:r>
        <w:rPr>
          <w:rFonts w:ascii="Times New Roman PS Std;serif" w:hAnsi="Times New Roman PS Std;serif"/>
          <w:b w:val="false"/>
          <w:i w:val="false"/>
          <w:caps w:val="false"/>
          <w:smallCaps w:val="false"/>
          <w:sz w:val="20"/>
        </w:rPr>
        <w:t xml:space="preserve"> and </w:t>
      </w:r>
      <w:hyperlink r:id="rId6">
        <w:r>
          <w:rPr>
            <w:rStyle w:val="InternetLink"/>
            <w:rFonts w:ascii="Times New Roman PS Std;serif" w:hAnsi="Times New Roman PS Std;serif"/>
            <w:b w:val="false"/>
            <w:i w:val="false"/>
            <w:caps w:val="false"/>
            <w:smallCaps w:val="false"/>
            <w:sz w:val="20"/>
          </w:rPr>
          <w:t>August 5, 2026</w:t>
        </w:r>
      </w:hyperlink>
      <w:r>
        <w:rPr>
          <w:rFonts w:ascii="Times New Roman PS Std;serif" w:hAnsi="Times New Roman PS Std;serif"/>
          <w:b w:val="false"/>
          <w:i w:val="false"/>
          <w:caps w:val="false"/>
          <w:smallCaps w:val="false"/>
          <w:sz w:val="20"/>
        </w:rPr>
        <w:t>, respectively; and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Current Reports on </w:t>
      </w:r>
      <w:hyperlink r:id="rId7">
        <w:r>
          <w:rPr>
            <w:rStyle w:val="InternetLink"/>
            <w:rFonts w:ascii="Times New Roman PS Std;serif" w:hAnsi="Times New Roman PS Std;serif"/>
            <w:b w:val="false"/>
            <w:i w:val="false"/>
            <w:caps w:val="false"/>
            <w:smallCaps w:val="false"/>
            <w:sz w:val="20"/>
          </w:rPr>
          <w:t>Form 8-K</w:t>
        </w:r>
      </w:hyperlink>
      <w:r>
        <w:rPr>
          <w:rFonts w:ascii="Times New Roman PS Std;serif" w:hAnsi="Times New Roman PS Std;serif"/>
          <w:b w:val="false"/>
          <w:i w:val="false"/>
          <w:caps w:val="false"/>
          <w:smallCaps w:val="false"/>
          <w:sz w:val="20"/>
        </w:rPr>
        <w:t xml:space="preserve"> (other than information furnished rather than filed) filed with the SEC on </w:t>
      </w:r>
      <w:hyperlink r:id="rId8">
        <w:r>
          <w:rPr>
            <w:rStyle w:val="InternetLink"/>
            <w:rFonts w:ascii="Times New Roman PS Std;serif" w:hAnsi="Times New Roman PS Std;serif"/>
            <w:b w:val="false"/>
            <w:i w:val="false"/>
            <w:caps w:val="false"/>
            <w:smallCaps w:val="false"/>
            <w:sz w:val="20"/>
          </w:rPr>
          <w:t>May 7, 2026</w:t>
        </w:r>
      </w:hyperlink>
      <w:r>
        <w:rPr>
          <w:rFonts w:ascii="Times New Roman PS Std;serif" w:hAnsi="Times New Roman PS Std;serif"/>
          <w:b w:val="false"/>
          <w:i w:val="false"/>
          <w:caps w:val="false"/>
          <w:smallCaps w:val="false"/>
          <w:sz w:val="20"/>
        </w:rPr>
        <w:t xml:space="preserve">, </w:t>
      </w:r>
      <w:hyperlink r:id="rId9">
        <w:r>
          <w:rPr>
            <w:rStyle w:val="InternetLink"/>
            <w:rFonts w:ascii="Times New Roman PS Std;serif" w:hAnsi="Times New Roman PS Std;serif"/>
            <w:b w:val="false"/>
            <w:i w:val="false"/>
            <w:caps w:val="false"/>
            <w:smallCaps w:val="false"/>
            <w:sz w:val="20"/>
          </w:rPr>
          <w:t>May 21, 2026</w:t>
        </w:r>
      </w:hyperlink>
      <w:r>
        <w:rPr>
          <w:rFonts w:ascii="Times New Roman PS Std;serif" w:hAnsi="Times New Roman PS Std;serif"/>
          <w:b w:val="false"/>
          <w:i w:val="false"/>
          <w:caps w:val="false"/>
          <w:smallCaps w:val="false"/>
          <w:sz w:val="20"/>
        </w:rPr>
        <w:t xml:space="preserve">, </w:t>
      </w:r>
      <w:hyperlink r:id="rId10">
        <w:r>
          <w:rPr>
            <w:rStyle w:val="InternetLink"/>
            <w:rFonts w:ascii="Times New Roman PS Std;serif" w:hAnsi="Times New Roman PS Std;serif"/>
            <w:b w:val="false"/>
            <w:i w:val="false"/>
            <w:caps w:val="false"/>
            <w:smallCaps w:val="false"/>
            <w:sz w:val="20"/>
          </w:rPr>
          <w:t>June 12, 2026</w:t>
        </w:r>
      </w:hyperlink>
      <w:r>
        <w:rPr>
          <w:rFonts w:ascii="Times New Roman PS Std;serif" w:hAnsi="Times New Roman PS Std;serif"/>
          <w:b w:val="false"/>
          <w:i w:val="false"/>
          <w:caps w:val="false"/>
          <w:smallCaps w:val="false"/>
          <w:sz w:val="20"/>
        </w:rPr>
        <w:t xml:space="preserve">, and </w:t>
      </w:r>
      <w:hyperlink r:id="rId11">
        <w:r>
          <w:rPr>
            <w:rStyle w:val="InternetLink"/>
            <w:rFonts w:ascii="Times New Roman PS Std;serif" w:hAnsi="Times New Roman PS Std;serif"/>
            <w:b w:val="false"/>
            <w:i w:val="false"/>
            <w:caps w:val="false"/>
            <w:smallCaps w:val="false"/>
            <w:sz w:val="20"/>
          </w:rPr>
          <w:t>July 14, 2026</w:t>
        </w:r>
      </w:hyperlink>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“Available Information” in the accompanying prospectus for information on how to obtain a copy of these filings.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p>
      <w:pPr>
        <w:pStyle w:val="TextBody"/>
        <w:keepNext w:val="false"/>
        <w:pageBreakBefore w:val="false"/>
        <w:widowControl/>
        <w:pBdr/>
        <w:bidi w:val="0"/>
        <w:spacing w:before="240" w:after="283"/>
        <w:jc w:val="center"/>
        <w:rPr>
          <w:caps w:val="false"/>
          <w:smallCaps w:val="false"/>
        </w:rPr>
      </w:pPr>
      <w:r>
        <w:rPr>
          <w:caps w:val="false"/>
          <w:smallCaps w:val="false"/>
        </w:rPr>
        <w:drawing>
          <wp:inline distT="0" distB="0" distL="0" distR="0">
            <wp:extent cx="3248025" cy="7981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3248025" cy="79819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TRINITY CAPITAL INC.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Common Stock</w:t>
        <w:br/>
        <w:t>Preferred Stock</w:t>
        <w:br/>
        <w:t>Warrants</w:t>
        <w:br/>
        <w:t>Subscription Rights</w:t>
        <w:br/>
        <w:t>Debt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specialty lending company that provides debt, including loans, equipment financings and asset-based lending, to growth-oriented companies, including institutional investor-backed companies. We define “growth-oriented companies” as companies that have significant ownership and active participation by sponsors, such as institutional investors or private equity firms, and expected annual revenues of up to $100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internally managed, closed-end, non-diversified management investment company that has elected to be regulated as a business development company (“BDC”) under the Investment Company Act of 1940, as amended (the “1940 Act”). We have elected to be treated, and intend to qualify annually, as a regulated investment company (“RIC”) under Subchapter M of the Internal Revenue Code of 1986, as amended (the “Code”), for U.S. federal income tax purposes. As a BDC and a RIC, we are required to comply with certain regulatory requirements. See “Regulation” and “Certain U.S. Federal Income Tax Considerations.”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objective is to generate current income and, to a lesser extent, capital appreciation through our investments across five distinct vertical markets. We seek to achieve our investment objective by making investments consisting primarily of term loans, equipment financings, and asset based lending and, to a lesser extent, working capital loans, equity and equity-related investments. In addition, we may obtain warrants or contingent exit fees at funding from many of our portfolio companies, providing an additional potential source of investment returns.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target investments in growth-oriented companies, which are typically private companies, including institutional investor-based companies. Our loans and equipment financings generally range from $5 million to $50 million. Subject to the requirements of the 1940 Act, we are not limited to investing in any particular industry or geographic area and seek to invest in under-financed segments of the private credit markets. The debt in which we invest typically is not rated by any rating agency, but if these instruments were rated, they would likely receive a rating of below investment grade (that is, below BBB- or Baa3), which is often referred to as “high yield” or “junk.”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Section 2(a) of the Securities Act of 1933, as amended (the “Securities Act”). As a result, we are subject to reduced public company reporting requirements and intend to take advantage of the extended transition period provided in Section 7(a)(2)(B) of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offer, from time to time, in one or more offerings or series, our common stock, preferred stock, debt securities, subscription rights to purchase shares of our common stock, and/or warrants representing rights to purchase shares of our common stock, preferred stock or debt securities (collectively,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 You should read this prospectus and the applicable prospectus supplement carefully before you invest in our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event we offer common stock, the offering price per share of our common stock less any underwriting discounts or commissions generally will not be less than the net asset value per share of our common stock at the time we make the offering. However, we may issue shares of our common stock pursuant to this prospectus and any accompanying prospectus supplement at a price per share that is less than our net asset value per share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in connection with a rights offering to our existing stockholders, (ii) with the prior approval of the majority of our common stockholders (as defined in the 1940 Act), or (iii) under such other circumstances as the U.S. Securities and Exchange Commission (the “SEC”) may permit. We cannot issue shares of our common stock below net asset value unless our board of directors (the “Board”) determines that it would be in our and our stockholders’ best interests to do so. Sales of common stock at prices below net asset value per share dilute the interests of existing stockholders, have the effect of reducing our net asset value per share and may reduce our market price per share. In addition, continuous sales of common stock below net asset value may have a negative impact on total returns and could have a negative impact on the market price of our shares of common stock. See “Sales of Common Stock Below Net Asset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securities may be offered directly to one or more purchasers, including existing stockholders in a rights offering,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traded on the Nasdaq Global Select Market (“Nasdaq”) under the symbol “TRIN.” On August 5, 2025, the last reported sales price of our common stock on Nasdaq was $15.12 per share. The net asset value per share of our common stock at June 30, 2025 (the last date prior to the date of this prospectus for which we reported net asset value) was $13.27.</w:t>
      </w:r>
    </w:p>
    <w:p>
      <w:pPr>
        <w:pStyle w:val="TextBody"/>
        <w:keepNext w:val="false"/>
        <w:pageBreakBefore w:val="false"/>
        <w:widowControl/>
        <w:pBdr/>
        <w:bidi w:val="0"/>
        <w:spacing w:before="10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securities involves a high degree of risk, including credit risk, the risk of the use of leverage and the risk of dilution, and is highly speculative. In addition, shares of closed-end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investment companies, including BDCs, frequently trade at a discount to their net asset values. If shares of our common stock trade at a discount to our net asset value, it will likely increase the risk of loss for purchasers in an offering made pursuant to this prospectus or any related prospectus supplement. Before investing in our securities, you should read the discussion of the material risks of investing in our securities, including the risk of leverage and dilution, in “Risk Factors” beginning on page 6</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 this prospectus or otherwise incorporated by reference herein and included in, or incorporated by reference into, the applicable prospectus supplement and in any free writing prospectuses we have authorized for use in connection with a specific offering, and under similar headings in the other documents that are incorporated by reference into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accompanying prospectus supplement and any related free writing prospectus may also add, update, or change information contained in this prospectus. You should carefully read this prospectus, the accompanying prospectus supplement, any related free writing prospectus and the documents incorporated by reference herein, before investing in our securities and keep them for future reference. We also file periodic and current reports, proxy statements and other information about us with the SEC. This information is available free of charge by contacting us at 1 N. 1st Street, Suite 302, Phoenix, Arizona 85004, calling us at (480) 374-5350 or visiting our corporate website located at </w:t>
      </w:r>
      <w:r>
        <w:rPr>
          <w:rFonts w:ascii="Times New Roman PS Std;serif" w:hAnsi="Times New Roman PS Std;serif"/>
          <w:b w:val="false"/>
          <w:i/>
          <w:caps w:val="false"/>
          <w:smallCaps w:val="false"/>
          <w:sz w:val="20"/>
        </w:rPr>
        <w:t>www.trinitycap.com</w:t>
      </w:r>
      <w:r>
        <w:rPr>
          <w:rFonts w:ascii="Times New Roman PS Std;serif" w:hAnsi="Times New Roman PS Std;serif"/>
          <w:b w:val="false"/>
          <w:i w:val="false"/>
          <w:caps w:val="false"/>
          <w:smallCaps w:val="false"/>
          <w:sz w:val="20"/>
        </w:rPr>
        <w:t xml:space="preserve">. Information on our website is not incorporated into or a part of this prospectus and any accompanying prospectus supplement. The SEC also maintains a website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xml:space="preserve"> that contains this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 nor any state securities commission has approved or disapproved of these securities or determined if this prospectus is truthful or complete. Any representation to the contrary is a criminal offense.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prospectus may not be used to consummate sales of securities unless accompanied by a prospectus supplement.</w:t>
      </w:r>
    </w:p>
    <w:p>
      <w:pPr>
        <w:pStyle w:val="TextBody"/>
        <w:keepNext w:val="false"/>
        <w:pageBreakBefore w:val="false"/>
        <w:widowControl/>
        <w:pBdr/>
        <w:bidi w:val="0"/>
        <w:spacing w:before="10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date of this prospectus is August 11, 2025.</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1">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2">
              <w:r>
                <w:rPr>
                  <w:rStyle w:val="InternetLink"/>
                  <w:rFonts w:ascii="Times New Roman PS Std;serif" w:hAnsi="Times New Roman PS Std;serif"/>
                  <w:b w:val="false"/>
                  <w:i w:val="false"/>
                  <w:caps w:val="false"/>
                  <w:smallCaps w:val="false"/>
                  <w:sz w:val="20"/>
                </w:rPr>
                <w:t xml:space="preserve">FEES AND EXPENSES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3">
              <w:r>
                <w:rPr>
                  <w:rStyle w:val="InternetLink"/>
                  <w:rFonts w:ascii="Times New Roman PS Std;serif" w:hAnsi="Times New Roman PS Std;serif"/>
                  <w:b w:val="false"/>
                  <w:i w:val="false"/>
                  <w:caps w:val="false"/>
                  <w:smallCaps w:val="false"/>
                  <w:sz w:val="20"/>
                </w:rPr>
                <w:t xml:space="preserve">FINANCIAL HIGHLIGHTS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4">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5">
              <w:r>
                <w:rPr>
                  <w:rStyle w:val="InternetLink"/>
                  <w:rFonts w:ascii="Times New Roman PS Std;serif" w:hAnsi="Times New Roman PS Std;serif"/>
                  <w:b w:val="false"/>
                  <w:i w:val="false"/>
                  <w:caps w:val="false"/>
                  <w:smallCaps w:val="false"/>
                  <w:sz w:val="20"/>
                </w:rPr>
                <w:t xml:space="preserve">SPECIAL NOTE REGARDING FORWARD-LOOKING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6">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7">
              <w:r>
                <w:rPr>
                  <w:rStyle w:val="InternetLink"/>
                  <w:rFonts w:ascii="Times New Roman PS Std;serif" w:hAnsi="Times New Roman PS Std;serif"/>
                  <w:b w:val="false"/>
                  <w:i w:val="false"/>
                  <w:caps w:val="false"/>
                  <w:smallCaps w:val="false"/>
                  <w:sz w:val="20"/>
                </w:rPr>
                <w:t xml:space="preserve">PRICE RANGE OF COMMON STOCK AND DISTRIBUTIONS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8">
              <w:r>
                <w:rPr>
                  <w:rStyle w:val="InternetLink"/>
                  <w:rFonts w:ascii="Times New Roman PS Std;serif" w:hAnsi="Times New Roman PS Std;serif"/>
                  <w:b w:val="false"/>
                  <w:i w:val="false"/>
                  <w:caps w:val="false"/>
                  <w:smallCaps w:val="false"/>
                  <w:sz w:val="20"/>
                </w:rPr>
                <w:t>MANAGEMENT’S DISCUSSION AND ANALYSIS OF FINANCIAL CONDITION AND RESULTS OF OPERATIONS</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9">
              <w:r>
                <w:rPr>
                  <w:rStyle w:val="InternetLink"/>
                  <w:rFonts w:ascii="Times New Roman PS Std;serif" w:hAnsi="Times New Roman PS Std;serif"/>
                  <w:b w:val="false"/>
                  <w:i w:val="false"/>
                  <w:caps w:val="false"/>
                  <w:smallCaps w:val="false"/>
                  <w:sz w:val="20"/>
                </w:rPr>
                <w:t xml:space="preserve">BUSINESS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0">
              <w:r>
                <w:rPr>
                  <w:rStyle w:val="InternetLink"/>
                  <w:rFonts w:ascii="Times New Roman PS Std;serif" w:hAnsi="Times New Roman PS Std;serif"/>
                  <w:b w:val="false"/>
                  <w:i w:val="false"/>
                  <w:caps w:val="false"/>
                  <w:smallCaps w:val="false"/>
                  <w:sz w:val="20"/>
                </w:rPr>
                <w:t xml:space="preserve">SENIOR SECURITIES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1">
              <w:r>
                <w:rPr>
                  <w:rStyle w:val="InternetLink"/>
                  <w:rFonts w:ascii="Times New Roman PS Std;serif" w:hAnsi="Times New Roman PS Std;serif"/>
                  <w:b w:val="false"/>
                  <w:i w:val="false"/>
                  <w:caps w:val="false"/>
                  <w:smallCaps w:val="false"/>
                  <w:sz w:val="20"/>
                </w:rPr>
                <w:t xml:space="preserve">PORTFOLIO COMPANIES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2">
              <w:r>
                <w:rPr>
                  <w:rStyle w:val="InternetLink"/>
                  <w:rFonts w:ascii="Times New Roman PS Std;serif" w:hAnsi="Times New Roman PS Std;serif"/>
                  <w:b w:val="false"/>
                  <w:i w:val="false"/>
                  <w:caps w:val="false"/>
                  <w:smallCaps w:val="false"/>
                  <w:sz w:val="20"/>
                </w:rPr>
                <w:t xml:space="preserve">MANAGEMENT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3">
              <w:r>
                <w:rPr>
                  <w:rStyle w:val="InternetLink"/>
                  <w:rFonts w:ascii="Times New Roman PS Std;serif" w:hAnsi="Times New Roman PS Std;serif"/>
                  <w:b w:val="false"/>
                  <w:i w:val="false"/>
                  <w:caps w:val="false"/>
                  <w:smallCaps w:val="false"/>
                  <w:sz w:val="20"/>
                </w:rPr>
                <w:t xml:space="preserve">EXECUTIVE COMPENSATION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4">
              <w:r>
                <w:rPr>
                  <w:rStyle w:val="InternetLink"/>
                  <w:rFonts w:ascii="Times New Roman PS Std;serif" w:hAnsi="Times New Roman PS Std;serif"/>
                  <w:b w:val="false"/>
                  <w:i w:val="false"/>
                  <w:caps w:val="false"/>
                  <w:smallCaps w:val="false"/>
                  <w:sz w:val="20"/>
                </w:rPr>
                <w:t xml:space="preserve">CERTAIN RELATIONSHIPS AND RELATED-PARTY TRANSACTIONS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5">
              <w:r>
                <w:rPr>
                  <w:rStyle w:val="InternetLink"/>
                  <w:rFonts w:ascii="Times New Roman PS Std;serif" w:hAnsi="Times New Roman PS Std;serif"/>
                  <w:b w:val="false"/>
                  <w:i w:val="false"/>
                  <w:caps w:val="false"/>
                  <w:smallCaps w:val="false"/>
                  <w:sz w:val="20"/>
                </w:rPr>
                <w:t xml:space="preserve">CONTROL PERSONS AND PRINCIPAL STOCKHOLDERS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6">
              <w:r>
                <w:rPr>
                  <w:rStyle w:val="InternetLink"/>
                  <w:rFonts w:ascii="Times New Roman PS Std;serif" w:hAnsi="Times New Roman PS Std;serif"/>
                  <w:b w:val="false"/>
                  <w:i w:val="false"/>
                  <w:caps w:val="false"/>
                  <w:smallCaps w:val="false"/>
                  <w:sz w:val="20"/>
                </w:rPr>
                <w:t xml:space="preserve">DETERMINATION OF NET ASSET VALUE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7">
              <w:r>
                <w:rPr>
                  <w:rStyle w:val="InternetLink"/>
                  <w:rFonts w:ascii="Times New Roman PS Std;serif" w:hAnsi="Times New Roman PS Std;serif"/>
                  <w:b w:val="false"/>
                  <w:i w:val="false"/>
                  <w:caps w:val="false"/>
                  <w:smallCaps w:val="false"/>
                  <w:sz w:val="20"/>
                </w:rPr>
                <w:t xml:space="preserve">SALES OF COMMON STOCK BELOW NET ASSET VALUE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8">
              <w:r>
                <w:rPr>
                  <w:rStyle w:val="InternetLink"/>
                  <w:rFonts w:ascii="Times New Roman PS Std;serif" w:hAnsi="Times New Roman PS Std;serif"/>
                  <w:b w:val="false"/>
                  <w:i w:val="false"/>
                  <w:caps w:val="false"/>
                  <w:smallCaps w:val="false"/>
                  <w:sz w:val="20"/>
                </w:rPr>
                <w:t xml:space="preserve">DISTRIBUTION REINVESTMENT PLAN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9">
              <w:r>
                <w:rPr>
                  <w:rStyle w:val="InternetLink"/>
                  <w:rFonts w:ascii="Times New Roman PS Std;serif" w:hAnsi="Times New Roman PS Std;serif"/>
                  <w:b w:val="false"/>
                  <w:i w:val="false"/>
                  <w:caps w:val="false"/>
                  <w:smallCaps w:val="false"/>
                  <w:sz w:val="20"/>
                </w:rPr>
                <w:t xml:space="preserve">CERTAIN U.S. FEDERAL INCOME TAX CONSIDERATIONS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0">
              <w:r>
                <w:rPr>
                  <w:rStyle w:val="InternetLink"/>
                  <w:rFonts w:ascii="Times New Roman PS Std;serif" w:hAnsi="Times New Roman PS Std;serif"/>
                  <w:b w:val="false"/>
                  <w:i w:val="false"/>
                  <w:caps w:val="false"/>
                  <w:smallCaps w:val="false"/>
                  <w:sz w:val="20"/>
                </w:rPr>
                <w:t xml:space="preserve">DESCRIPTION OF OUR CAPITAL STOCK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1">
              <w:r>
                <w:rPr>
                  <w:rStyle w:val="InternetLink"/>
                  <w:rFonts w:ascii="Times New Roman PS Std;serif" w:hAnsi="Times New Roman PS Std;serif"/>
                  <w:b w:val="false"/>
                  <w:i w:val="false"/>
                  <w:caps w:val="false"/>
                  <w:smallCaps w:val="false"/>
                  <w:sz w:val="20"/>
                </w:rPr>
                <w:t xml:space="preserve">DESCRIPTION OF OUR PREFERRED STOCK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2">
              <w:r>
                <w:rPr>
                  <w:rStyle w:val="InternetLink"/>
                  <w:rFonts w:ascii="Times New Roman PS Std;serif" w:hAnsi="Times New Roman PS Std;serif"/>
                  <w:b w:val="false"/>
                  <w:i w:val="false"/>
                  <w:caps w:val="false"/>
                  <w:smallCaps w:val="false"/>
                  <w:sz w:val="20"/>
                </w:rPr>
                <w:t xml:space="preserve">DESCRIPTION OF OUR SUBSCRIPTION RIGHTS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3">
              <w:r>
                <w:rPr>
                  <w:rStyle w:val="InternetLink"/>
                  <w:rFonts w:ascii="Times New Roman PS Std;serif" w:hAnsi="Times New Roman PS Std;serif"/>
                  <w:b w:val="false"/>
                  <w:i w:val="false"/>
                  <w:caps w:val="false"/>
                  <w:smallCaps w:val="false"/>
                  <w:sz w:val="20"/>
                </w:rPr>
                <w:t xml:space="preserve">DESCRIPTION OF OUR WARRANTS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4">
              <w:r>
                <w:rPr>
                  <w:rStyle w:val="InternetLink"/>
                  <w:rFonts w:ascii="Times New Roman PS Std;serif" w:hAnsi="Times New Roman PS Std;serif"/>
                  <w:b w:val="false"/>
                  <w:i w:val="false"/>
                  <w:caps w:val="false"/>
                  <w:smallCaps w:val="false"/>
                  <w:sz w:val="20"/>
                </w:rPr>
                <w:t xml:space="preserve">DESCRIPTION OF OUR DEBT SECURITIES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5">
              <w:r>
                <w:rPr>
                  <w:rStyle w:val="InternetLink"/>
                  <w:rFonts w:ascii="Times New Roman PS Std;serif" w:hAnsi="Times New Roman PS Std;serif"/>
                  <w:b w:val="false"/>
                  <w:i w:val="false"/>
                  <w:caps w:val="false"/>
                  <w:smallCaps w:val="false"/>
                  <w:sz w:val="20"/>
                </w:rPr>
                <w:t>ISSUANCE OF OPTIONS, WARRANTS OR SECURITIES TO SUBSCRIBE FOR OR CONVERTIBLE INTO SHARES OF OUR COMMON STOCK</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6">
              <w:r>
                <w:rPr>
                  <w:rStyle w:val="InternetLink"/>
                  <w:rFonts w:ascii="Times New Roman PS Std;serif" w:hAnsi="Times New Roman PS Std;serif"/>
                  <w:b w:val="false"/>
                  <w:i w:val="false"/>
                  <w:caps w:val="false"/>
                  <w:smallCaps w:val="false"/>
                  <w:sz w:val="20"/>
                </w:rPr>
                <w:t xml:space="preserve">REGULATION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7">
              <w:r>
                <w:rPr>
                  <w:rStyle w:val="InternetLink"/>
                  <w:rFonts w:ascii="Times New Roman PS Std;serif" w:hAnsi="Times New Roman PS Std;serif"/>
                  <w:b w:val="false"/>
                  <w:i w:val="false"/>
                  <w:caps w:val="false"/>
                  <w:smallCaps w:val="false"/>
                  <w:sz w:val="20"/>
                </w:rPr>
                <w:t xml:space="preserve">PLAN OF DISTRIBUTION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28">
              <w:r>
                <w:rPr>
                  <w:rStyle w:val="InternetLink"/>
                  <w:rFonts w:ascii="Times New Roman PS Std;serif" w:hAnsi="Times New Roman PS Std;serif"/>
                  <w:b w:val="false"/>
                  <w:i w:val="false"/>
                  <w:caps w:val="false"/>
                  <w:smallCaps w:val="false"/>
                  <w:sz w:val="20"/>
                </w:rPr>
                <w:t xml:space="preserve">CUSTODIAN, TRANSFER AND DIVIDEND PAYING AGENT AND REGISTRAR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9">
              <w:r>
                <w:rPr>
                  <w:rStyle w:val="InternetLink"/>
                  <w:rFonts w:ascii="Times New Roman PS Std;serif" w:hAnsi="Times New Roman PS Std;serif"/>
                  <w:b w:val="false"/>
                  <w:i w:val="false"/>
                  <w:caps w:val="false"/>
                  <w:smallCaps w:val="false"/>
                  <w:sz w:val="20"/>
                </w:rPr>
                <w:t xml:space="preserve">BROKERAGE ALLOCATION AND OTHER PRACTICES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30">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31">
              <w:r>
                <w:rPr>
                  <w:rStyle w:val="InternetLink"/>
                  <w:rFonts w:ascii="Times New Roman PS Std;serif" w:hAnsi="Times New Roman PS Std;serif"/>
                  <w:b w:val="false"/>
                  <w:i w:val="false"/>
                  <w:caps w:val="false"/>
                  <w:smallCaps w:val="false"/>
                  <w:sz w:val="20"/>
                </w:rPr>
                <w:t xml:space="preserve">INDEPENDENT REGISTERED PUBLIC ACCOUNTING FIRM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32">
              <w:r>
                <w:rPr>
                  <w:rStyle w:val="InternetLink"/>
                  <w:rFonts w:ascii="Times New Roman PS Std;serif" w:hAnsi="Times New Roman PS Std;serif"/>
                  <w:b w:val="false"/>
                  <w:i w:val="false"/>
                  <w:caps w:val="false"/>
                  <w:smallCaps w:val="false"/>
                  <w:sz w:val="20"/>
                </w:rPr>
                <w:t xml:space="preserve">AVAILABLE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33">
              <w:r>
                <w:rPr>
                  <w:rStyle w:val="InternetLink"/>
                  <w:rFonts w:ascii="Times New Roman PS Std;serif" w:hAnsi="Times New Roman PS Std;serif"/>
                  <w:b w:val="false"/>
                  <w:i w:val="false"/>
                  <w:caps w:val="false"/>
                  <w:smallCaps w:val="false"/>
                  <w:sz w:val="20"/>
                </w:rPr>
                <w:t xml:space="preserve">INCORPORATION OF CERTAIN INFORMATION BY REFERENCE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ABOUT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an automatic “shelf” registration statement that we have filed with the SEC, as a “well-known seasoned issuer” as defined in Rule 405 under the Securities Act. Under this automatic “shelf” registration statement, we may offer, from time to time, in one or more offerings or series, an indefinite amount of our common stock, preferred stock, debt securities, subscription rights to purchase shares of our common stock, and/or warrants representing rights to purchase shares of our common stock, preferred stock or debt securities, on terms to be determined at the time of the offering. See “Plan of Distribution” for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provides you with a general description of the securities that we may offer. Each time we use this prospectus to offer securities, we will provide a prospectus supplement that will contain specific information about the terms of that offering. We may also authorize one or more free writing prospectuses to be provided to you that may contain material information relating to these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please carefully read this prospectus, any accompanying prospectus supplement, any free writing prospectus and the documents incorporated by reference in this prospectus and any accompanying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may contain estimates and information concerning our industry, including market size and growth rates of the markets in which we participate, that are based on industry publications and other third-party reports. This information involves many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or referenced in the section titled “Risk Factors,” that could cause results to differ materially from those expressed in these publications and reports.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the registration statement of which this prospectus is a part, and you may obtain copies of those documents as described in the section titled “Available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should rely only on the information included or incorporated by reference in this prospectus, any prospectus supplement or in any free writing prospectus prepared by us or on our behalf or to which we have referred you. We have not authorized any dealer, salesperson or other person to provide you with different information or to make representations as to matters not stated in this prospectus, in any accompanying prospectus supplement or in any free writing prospectus prepared by us or on our behalf or to which we have referred you. We take no responsibility for, and can provide no assurance as to the reliability of, any other information that others may give you. If anyone provides you with different or inconsistent information, you should not rely on it. This prospectus, any accompanying prospectus supplement and any free writing prospectus prepared by us or on our behalf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in any accompanying prospectus supplement or in any such free writing prospectus is accurate as of any date other than their respective dates. Our financial condition, results of operations and prospects may have changed since any such date. To the extent required by law, we will amend or supplement the information contained or incorporated by reference in this prospectus and any accompanying prospectus supplement to reflect any material changes to such information subsequent to the date of the prospectus and any accompanying prospectus supplement and prior to the completion of any offering pursuant to the prospectus and any accompanying prospectus supplement.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16" w:name="T9901"/>
      <w:bookmarkEnd w:id="16"/>
      <w:r>
        <w:rPr>
          <w:rFonts w:ascii="Times New Roman PS Std;serif" w:hAnsi="Times New Roman PS Std;serif"/>
          <w:b/>
          <w:i w:val="false"/>
          <w:caps w:val="false"/>
          <w:smallCaps w:val="false"/>
          <w:sz w:val="20"/>
          <w:bdr w:val="single" w:sz="8" w:space="10" w:color="000000"/>
        </w:rPr>
        <w:t xml:space="preserve">PROSPECTUS 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some of the information included elsewhere in this prospectus or incorporated by reference. It is not complete and may not contain all of the information that you may want to consider before investing in our securities. You should carefully read the entire prospectus, the applicable prospectus supplement, and any related free writing prospectus, including the risks of investing in our securities discussed in the section titled “Risk Factors” in the applicable prospectus supplement and any related free writing prospectus, and under similar headings in the other documents that are incorporated by reference into this prospectus and the applicable prospectus supplement. Before making your investment decision, you should also carefully read the information incorporated by reference into this prospectus, including our financial statements and related notes, and the exhibits to the registration statement of which this prospectus is a part.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Trinity Capital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Trinity Capital Inc. (“we,” “us,” “our,” “Trinity” and the “Company”), a Maryland corporation, is a specialty lending company that provides debt, including loans, equipment financings and asset-based lending, to growth-oriented companies, including institutional investor-backed companies. Our investment objective is to generate current income and, to a lesser extent, capital appreciation through our investments across five distinct vertical markets. We seek to achieve our investment objective by making investments consisting of term loans, equipment financings and asset-based lending and, to a lesser extent, working capital loans, equity and equity-related investments. Our equipment financings involve loans for general or specific use, including acquiring equipment, that are secured by the equipment or other assets of the portfolio company. In addition, we may obtain warrants or contingent exit fees at funding from many of our portfolio companies, providing an additional potential source of investment returns. The warrants entitle us to purchase preferred or common ownership shares of a portfolio company, and we typically target the amount of such warrants to scale in proportion to the amount of the debt or equipment financing. Contingent exit fees are cash fees payable upon the consummation of certain trigger events, such as a successful change of control or initial public offering of the portfolio company. In addition, we may obtain rights to purchase additional shares of our portfolio companies in subsequent equity financing rounds.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target investments in growth-oriented companies with institutional investor support, experienced management teams, promising products and offerings, and large expanding markets. We define “growth-oriented companies” as companies that have significant ownership and active participation by sponsors and expected annual revenues of up to $100 million. These companies typically are private companies that have begun to have success selling their products to the market and need additional capital to expand their operations and sales. Despite often achieving growing revenues, these types of companies typically have limited financing options to fund their growth. Equity, being dilutive in nature, is generally the most expensive form of capital available, while traditional bank financing is rarely available, given the lifecycle stage of these companies. Financing from us bridges this financing gap, providing companies with growth capital, which may result in improved profitability, less dilution for all equity investors, and increased enterprise value. Subject to the requirements of the Investment Company Act of 1940, as amended (the “1940 Act”), we are not limited to investing in any particular industry or geographic area and seek to invest in under-financed segments of the private credit markets. The debt in which we invest typically is not rated by any rating agency, but if these instruments were rated, they would likely receive a rating of below investment grade (that is, below BBB- or Baa3), which is often referred to as “high yield” or “junk.”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primarily seek to invest in loans and equipment financings to growth-oriented companies that have generally completed product development and are in need of capital to fund revenue growth. We believe a lack of profitability often limits these companies’ ability to access traditional bank financing and our in-house engineering and operations experience allows us to better understand this risk and earn what we believe to be higher overall returns and better risk-adjusted returns than those associated with traditional bank loans. Leveraging the experience of our investment professionals, we seek to target growth-oriented companies and seek to identify financing opportunities ignored by the traditional direct lending community.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loans generally may have initial interest-only periods of up to 24 months, and our equipment financings generally begin amortizing immediately. Our loans and equipment financings generally have a total term of up to 60 months. These investments are typically secured by a blanket first position lien, a specific asset lien on mission-critical assets and/or a blanket second position lien. We may also make a limited number of direct equity and equity-related investments in conjunction with our debt investments. We target growth-oriented companies that have recently issued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equity to raise cash to offset potential cash flow needs related to projected growth, have achieved positive cash flow to cover debt service, or have institutional investors committed to providing additional funding. A loan or equipment financing may be structured to tie the amortization of the loan or equipment financing to the portfolio company’s projected cash balances while cash is still available for operations. As such, the loan or equipment financing may have a reduced risk of default. We believe that the amortizing nature of our investments will mitigate risk and significantly reduce the risk of our investments over a relatively short period. We focus on protecting and recovering principal in each investment and structure our investments to provide downside protection.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loans and equipment financings generally range from $5 million to $50 million and we generally limit each loan or equipment financing to approximately five percent or less of our total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Certain of the loans in which we invest have financial maintenance covenants, which are used to proactively address materially adverse changes in a portfolio company’s financial performance. However, we have invested in and may in the future invest in or obtain significant exposure to “covenant-lite” loans, which generally are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because we invest in and have exposure to covenant-lite loans, we may have fewer rights against a borrower and may have a greater risk of loss on such investments as compared to investments in or exposure to loans with financial maintenance covenants.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June 30, 2025, our investment portfolio had an aggregate fair value of approximately $1,978.3 million and was comprised of approximately $1,491.8 million in secured loans, $342.6 million in equipment financings, and $143.9 million in equity and warrants, across 163 portfolio companies. See “Business” and “Management’s Discussion and Analysis of Financial Condition and Results of Operations” for additional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an internally managed, closed-end, non-diversified management investment company that has elected to be regulated as a business development company (“BDC”) under the 1940 Act. We have elected to be treated, qualify and intend to continue to qualify as a regulated investment company (“RIC”) under the Internal Revenue Code of 1986, as amended (the “Code”), for U.S. federal income tax purposes. As a BDC and a RIC, we are required to comply with certain regulatory requirements. See “Regulation” and “Certain U.S. Federal Income Tax Considerations”. For example, as a BDC, at least 70% of our assets must be assets of the type listed in Section 55(a) of the 1940 Act. See “Regulation.”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principal executive offices are located at 1 N. 1st Street, Suite 302, Phoenix, Arizona 85004 and our telephone number is (480) 374-5350. Our corporate website is located at </w:t>
      </w:r>
      <w:r>
        <w:rPr>
          <w:rFonts w:ascii="Times New Roman PS Std;serif" w:hAnsi="Times New Roman PS Std;serif"/>
          <w:b w:val="false"/>
          <w:i/>
          <w:caps w:val="false"/>
          <w:smallCaps w:val="false"/>
          <w:sz w:val="20"/>
          <w:bdr w:val="single" w:sz="8" w:space="10" w:color="000000"/>
        </w:rPr>
        <w:t>www.trinitycap.com</w:t>
      </w:r>
      <w:r>
        <w:rPr>
          <w:rFonts w:ascii="Times New Roman PS Std;serif" w:hAnsi="Times New Roman PS Std;serif"/>
          <w:b w:val="false"/>
          <w:i w:val="false"/>
          <w:caps w:val="false"/>
          <w:smallCaps w:val="false"/>
          <w:sz w:val="20"/>
          <w:bdr w:val="single" w:sz="8" w:space="10" w:color="000000"/>
        </w:rPr>
        <w:t>. Information on our website is not incorporated into or a part of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Investing in our securities may be speculative and involves certain risks relating to our structure and our investment objective that you should consider before deciding whether to invest. See “Risk Factors” in this prospectus, any accompanying prospectus supplement, any related free writing prospectus we may authorize in connection with a specific offering, as well as “Risk Factors” in our most recent Annual Report on Form 10-K and our most recent Quarterly Report on Form 10-Q, for a detailed discussion of the material risks you should carefully consider before deciding to invest in our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17" w:name="T9902"/>
      <w:bookmarkEnd w:id="17"/>
      <w:r>
        <w:rPr>
          <w:rFonts w:ascii="Times New Roman PS Std;serif" w:hAnsi="Times New Roman PS Std;serif"/>
          <w:b/>
          <w:i w:val="false"/>
          <w:caps w:val="false"/>
          <w:smallCaps w:val="false"/>
          <w:sz w:val="20"/>
          <w:bdr w:val="single" w:sz="8" w:space="10" w:color="000000"/>
        </w:rPr>
        <w:t xml:space="preserve">FEES AND EXPENSES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is intended to assist you in understanding the costs and expenses that you will bear directly or indirectly. We caution you that some of the percentages indicated in the table below are estimates and may vary. The expenses shown in the table under “Annual expenses” are based on estimated amounts for our current fiscal year. The following table should not be considered a representation of our future expenses. Actual expenses may be greater or less than shown. Except where the context suggests otherwise, whenever this prospectus contains a reference to fees or expenses paid by “us” or “the Company” or that “we” will pay fees or expenses, you will indirectly bear these fees or expenses as an investor in the Company.</w:t>
      </w:r>
    </w:p>
    <w:tbl>
      <w:tblPr>
        <w:tblW w:w="10195" w:type="dxa"/>
        <w:jc w:val="left"/>
        <w:tblInd w:w="0" w:type="dxa"/>
        <w:tblLayout w:type="fixed"/>
        <w:tblCellMar>
          <w:top w:w="0" w:type="dxa"/>
          <w:left w:w="0" w:type="dxa"/>
          <w:bottom w:w="0" w:type="dxa"/>
          <w:right w:w="0" w:type="dxa"/>
        </w:tblCellMar>
      </w:tblPr>
      <w:tblGrid>
        <w:gridCol w:w="8356"/>
        <w:gridCol w:w="146"/>
        <w:gridCol w:w="286"/>
        <w:gridCol w:w="926"/>
        <w:gridCol w:w="481"/>
      </w:tblGrid>
      <w:tr>
        <w:trPr/>
        <w:tc>
          <w:tcPr>
            <w:tcW w:w="8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transaction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load (as a percentage of offering price)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r>
      <w:tr>
        <w:trPr/>
        <w:tc>
          <w:tcPr>
            <w:tcW w:w="8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expenses (as a percentage of offering price)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r>
      <w:tr>
        <w:trPr/>
        <w:tc>
          <w:tcPr>
            <w:tcW w:w="8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reinvestment plan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w:t>
            </w:r>
          </w:p>
        </w:tc>
        <w:tc>
          <w:tcPr>
            <w:tcW w:w="481"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r>
      <w:tr>
        <w:trPr/>
        <w:tc>
          <w:tcPr>
            <w:tcW w:w="8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 transaction expenses (as a percentage of offering price)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8694"/>
        <w:gridCol w:w="146"/>
        <w:gridCol w:w="706"/>
        <w:gridCol w:w="659"/>
      </w:tblGrid>
      <w:tr>
        <w:trPr/>
        <w:tc>
          <w:tcPr>
            <w:tcW w:w="86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expenses (as a percentage of net assets attributable to common stock):</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6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w:t>
            </w:r>
          </w:p>
        </w:tc>
        <w:tc>
          <w:tcPr>
            <w:tcW w:w="65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86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payments on borrowed funds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w:t>
            </w:r>
          </w:p>
        </w:tc>
        <w:tc>
          <w:tcPr>
            <w:tcW w:w="6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86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Acquired fund fees and expenses</w:t>
            </w:r>
          </w:p>
        </w:tc>
        <w:tc>
          <w:tcPr>
            <w:tcW w:w="146" w:type="dxa"/>
            <w:tcBorders/>
            <w:vAlign w:val="bottom"/>
          </w:tcPr>
          <w:p>
            <w:pPr>
              <w:pStyle w:val="TableContents"/>
              <w:bidi w:val="0"/>
              <w:spacing w:before="0" w:after="283"/>
              <w:jc w:val="left"/>
              <w:rPr/>
            </w:pPr>
            <w:r>
              <w:rPr/>
              <w:t> </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0.16</w:t>
            </w:r>
          </w:p>
        </w:tc>
        <w:tc>
          <w:tcPr>
            <w:tcW w:w="65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86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annual expenses</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16.45</w:t>
            </w:r>
          </w:p>
        </w:tc>
        <w:tc>
          <w:tcPr>
            <w:tcW w:w="6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bl>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(1)      In the event that the securities are sold to or through underwriters, a related prospectus supplement will disclose the applicable sales load (underwriting discount or commission).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(2)      A related prospectus supplement will disclose the estimated amount of offering expenses, the offering price and the estimated amount of offering expenses borne by the Company as a percentage of the offering price.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(3)      The expenses of our distribution reinvestment plan are included in “Operating expenses.” The plan administrator’s fees will be paid by us. There will be no brokerage charges or other charges to stockholders who participate in our distribution reinvestment plan except that, if a participant elects by written notice to the plan administrator prior to termination of the participant’s account to have the plan administrator sell part or all of the shares held by the plan administrator in the participant’s account and remit the proceeds to the participant, the plan administrator is authorized to deduct a $15.00 transaction fee plus a $0.12 per share brokerage commission from the proceeds. For additional information, see “Distribution Reinvestment Plan.”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(4)      Operating expenses represent the estimated annual operating expenses of the Company and its consolidated subsidiaries based on annualized operating expenses estimated for the current fiscal year, which considers the actual expenses for the quarter ended June 30, 2025. We do not have an investment adviser and are internally managed by our executive officers under the supervision of the Board. As a result, we do not pay investment advisory fees, but instead we pay the operating costs associated with employing investment management professionals, including, without limitation, compensation expenses related to salaries, discretionary bonuses and grants of options and restricted stock, if any.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(5)      Interest payments on borrowed funds represents an estimate of our annualized interest expense based on borrowings under the credit agreement with KeyBank, National Association (as amended, the “KeyBank Credit Agreement”), the August 2026 Notes, the December 2026 Notes, the March 2029 Notes, the September 2029 Notes, the Series A Notes and the July 2030 Notes (as such terms are defined herein). The assumed weighted average interest rate on our total debt outstanding was 7.44% based on $443.4 million outstanding under the KeyBank Credit Agreement, $125 million in aggregate principal amount of the August 2026 Notes outstanding, $75 million in aggregate principal amount of the December 2026 Notes outstanding, $116.6 million in aggregate principal amount of the March 2029 Notes outstanding, $119.2 million in aggregate principal amount of the September 2029 Notes outstanding, $142.5 million in aggregate principal amount of the Series A Notes outstanding and $125 million in aggregate principal amount of the July 2030 Notes outstanding. We may borrow additional funds from time to time to make investments to the extent we determine that it is in our best interest in doing so. We may also issue additional debt securities or preferred stock, subject to our compliance with applicable requirements under the 1940 Act.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(6)      Acquired fund fees and expenses represent the estimated indirect expense incurred due to investments in other investment companies and private funds.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(7)      The holders of shares of our common stock indirectly bear the cost associated with our annual expenses.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Example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stockholder transaction expenses described above are included in the following example.</w:t>
      </w:r>
    </w:p>
    <w:tbl>
      <w:tblPr>
        <w:tblW w:w="10205" w:type="dxa"/>
        <w:jc w:val="left"/>
        <w:tblInd w:w="0" w:type="dxa"/>
        <w:tblLayout w:type="fixed"/>
        <w:tblCellMar>
          <w:top w:w="0" w:type="dxa"/>
          <w:left w:w="0" w:type="dxa"/>
          <w:bottom w:w="0" w:type="dxa"/>
          <w:right w:w="0" w:type="dxa"/>
        </w:tblCellMar>
      </w:tblPr>
      <w:tblGrid>
        <w:gridCol w:w="6185"/>
        <w:gridCol w:w="146"/>
        <w:gridCol w:w="286"/>
        <w:gridCol w:w="526"/>
        <w:gridCol w:w="146"/>
        <w:gridCol w:w="297"/>
        <w:gridCol w:w="547"/>
        <w:gridCol w:w="146"/>
        <w:gridCol w:w="297"/>
        <w:gridCol w:w="547"/>
        <w:gridCol w:w="146"/>
        <w:gridCol w:w="311"/>
        <w:gridCol w:w="625"/>
      </w:tblGrid>
      <w:tr>
        <w:trPr/>
        <w:tc>
          <w:tcPr>
            <w:tcW w:w="618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 year</w:t>
            </w:r>
          </w:p>
        </w:tc>
        <w:tc>
          <w:tcPr>
            <w:tcW w:w="146" w:type="dxa"/>
            <w:tcBorders/>
            <w:vAlign w:val="bottom"/>
          </w:tcPr>
          <w:p>
            <w:pPr>
              <w:pStyle w:val="TableContents"/>
              <w:bidi w:val="0"/>
              <w:spacing w:before="0" w:after="283"/>
              <w:jc w:val="left"/>
              <w:rPr/>
            </w:pPr>
            <w:r>
              <w:rPr/>
              <w:t> </w:t>
            </w:r>
          </w:p>
        </w:tc>
        <w:tc>
          <w:tcPr>
            <w:tcW w:w="84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 years</w:t>
            </w:r>
          </w:p>
        </w:tc>
        <w:tc>
          <w:tcPr>
            <w:tcW w:w="146" w:type="dxa"/>
            <w:tcBorders/>
            <w:vAlign w:val="bottom"/>
          </w:tcPr>
          <w:p>
            <w:pPr>
              <w:pStyle w:val="TableContents"/>
              <w:bidi w:val="0"/>
              <w:spacing w:before="0" w:after="283"/>
              <w:jc w:val="left"/>
              <w:rPr/>
            </w:pPr>
            <w:r>
              <w:rPr/>
              <w:t> </w:t>
            </w:r>
          </w:p>
        </w:tc>
        <w:tc>
          <w:tcPr>
            <w:tcW w:w="84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 years</w:t>
            </w:r>
          </w:p>
        </w:tc>
        <w:tc>
          <w:tcPr>
            <w:tcW w:w="146" w:type="dxa"/>
            <w:tcBorders/>
            <w:vAlign w:val="bottom"/>
          </w:tcPr>
          <w:p>
            <w:pPr>
              <w:pStyle w:val="TableContents"/>
              <w:bidi w:val="0"/>
              <w:spacing w:before="0" w:after="283"/>
              <w:jc w:val="left"/>
              <w:rPr/>
            </w:pPr>
            <w:r>
              <w:rPr/>
              <w:t> </w:t>
            </w:r>
          </w:p>
        </w:tc>
        <w:tc>
          <w:tcPr>
            <w:tcW w:w="9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 years</w:t>
            </w:r>
          </w:p>
        </w:tc>
      </w:tr>
      <w:tr>
        <w:trPr/>
        <w:tc>
          <w:tcPr>
            <w:tcW w:w="61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would pay the following expenses on a $1,000 investment, assuming a 5% annual return (none of which is subject to a capital gains incentive fee)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w:t>
            </w:r>
          </w:p>
        </w:tc>
        <w:tc>
          <w:tcPr>
            <w:tcW w:w="146"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953</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In addition, while the example assumes reinvestment of all dividends and distributions at net asset value, if our Board authorizes and we declare a cash dividend, participants in our distribution reinvestment plan who have not otherwise elected to receive cash will receive a number of shares of our common stock, determined by dividing the total dollar amount of the dividend payable to a participant by the market price per share of our common stock at the close of trading on the valuation date for the dividend. See “Distribution Reinvestment Plan” for additional information regarding our distribution reinvestment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This example and the expenses in the table above should not be considered a representation of our future expenses, and actual expenses (including the cost of debt, if any, and other expenses) may be greater or less than those shown.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18" w:name="T9903"/>
      <w:bookmarkEnd w:id="18"/>
      <w:r>
        <w:rPr>
          <w:rFonts w:ascii="Times New Roman PS Std;serif" w:hAnsi="Times New Roman PS Std;serif"/>
          <w:b/>
          <w:i w:val="false"/>
          <w:caps w:val="false"/>
          <w:smallCaps w:val="false"/>
          <w:sz w:val="20"/>
          <w:bdr w:val="single" w:sz="8" w:space="10" w:color="000000"/>
        </w:rPr>
        <w:t xml:space="preserve">FINANCIAL HIGHLIGHTS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Information regarding our financial highlights is incorporated by reference herein from our most recent Annual Report on Form 10-K and our most recent Quarterly Report on Form 10-Q.</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9904"/>
      <w:bookmarkEnd w:id="19"/>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in our securities involves a number of significant risks. Before you invest in our securities, you should be aware of and carefully consider the various risks associated with the investment, including those described in this prospectus, any accompanying prospectus supplement, any related free writing prospectus we may authorize in connection with a specific offering, “Part I, Item IA. Risk Factors” in our most recent Annual Report on Form 10-K, which is incorporated by reference herein in their entirety, “Part II, Item 1A. Risk Factors” in our most recent Quarterly Report on Form 10-Q, which is incorporated by reference herein in their entirety, and any document incorporated by reference herein. You should carefully consider these risk factors, together with all of the other information included in this prospectus, any accompanying prospectus supplement and any related free writing prospectus we may authorize in connection with a specific offering, before you decide whether to make an investment in our securities. The risks set out and described in these documents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you may lose all or part of your investment. Please also read carefully the section titled “Special Note Regarding Forward-Looking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9905"/>
      <w:bookmarkEnd w:id="20"/>
      <w:r>
        <w:rPr>
          <w:rFonts w:ascii="Times New Roman PS Std;serif" w:hAnsi="Times New Roman PS Std;serif"/>
          <w:b/>
          <w:i w:val="false"/>
          <w:caps w:val="false"/>
          <w:smallCaps w:val="false"/>
          <w:sz w:val="20"/>
        </w:rPr>
        <w:t xml:space="preserve">SPECIAL NOTE REGARDING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any accompanying prospectus supplement, any related free writing prospectus and any documents we may incorporate by reference herein contain forward-looking statements that involve substantial risks and uncertainties. Such statements involve known and unknown risks, uncertainties and other factors, and undue reliance should not be placed thereon. Any statements about our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Accordingly, these statements are only predictions and involve estimates, known and unknown risks, assumptions and uncertainties that could cause actual results to differ materially from those expressed in them. Our actual results could differ materially from those anticipated in such forward-looking statements as a result of several factors more fully described or referenced under the section entitled “Risk Factors” and elsewhere in this prospectus, any accompanying prospectus supplement, any related free writing prospectus and any documents we may incorporate by reference herein and therein, including the following factors,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operating results;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dependence upon our management team and key investment professionals;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manage our business and future growth;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investments in growth-oriented companies, other venture capital-backed companies and generally U.S.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our portfolio companies to achieve their objectives;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use of leverage;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the uncertainty of the value of our portfolio investments;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political, economic or industry conditions, including as a result of supply chain disruptions, disruptions related to tariffs or other trade or sanction related issues, the interest rate and inflation rate environments or conditions affecting the financial and capital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uncertainty surrounding domestic and/or global financial and/or political stability;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dependence of our future success on the general economy and its impact on the industries in which we invest;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changes in interest rates and inflation rates, our expenses and other general economic conditions and the effect on our net investment income;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changes in laws or regulations (including the interpretation thereof), including tax laws, on our operations and/or the operations of our portfolio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market volatility, including general price and volume fluctuations in stock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make distributions;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maintain our status as a BDC under the 1940 Act and qualify annually for tax treatment as a RIC under the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there may be other risks that are otherwise described from time to time in the reports that we file with the SEC. Any forward-looking statements in this prospectus, any accompanying prospectus supplement, any related free writing prospectus and any documents we may incorporate by reference herein and therein should be considered in light of various important factors, including the risks and uncertainties listed above, as well as others.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forward-looking statements are necessarily only estimates of future results, and there can be no assurance that actual results will not differ materially from expectations, and, therefore, you are cautioned not to place undue reliance on such statements. Any forward-looking statements are qualified in their entirety by reference to the factors discussed throughout this prospectus, any accompanying prospectus supplement, any related free writing prospectus and any documents we may incorporate by reference herein. Further, any forward-looking statement speaks only as of the date on which it is made in this prospectus, any accompanying prospectus supplement, any related free writing prospectus and any documents we may incorporate by reference herein, and we undertake no obligation to update any forward-looking statement to reflect events or circumstances after the date on which the statement is made or to reflect the occurrence of unanticipated events. Because we are an investment company, the forward-looking statements and projections contained in this prospectus, any accompanying prospectus supplement, if any, and any documents we may incorporate by reference herein are excluded from the safe harbor protection provided by Section 27A(b)(2)(B) of the Securities Act of 1933, as amended (the “Securities Act”), and Section 21E of the Securities Exchange Act of 1934, as amended (the “Exchange Act”) (the “safe harbor” provisions of the Private Securities Litigation Reform Act of 1995).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906"/>
      <w:bookmarkEnd w:id="21"/>
      <w:r>
        <w:rPr>
          <w:rFonts w:ascii="Times New Roman PS Std;serif" w:hAnsi="Times New Roman PS Std;serif"/>
          <w:b/>
          <w:i w:val="false"/>
          <w:caps w:val="false"/>
          <w:smallCaps w:val="false"/>
          <w:sz w:val="20"/>
        </w:rPr>
        <w:t xml:space="preserve">USE OF PROCEEDS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specified in any applicable prospectus supplement or in any free writing prospectus we have authorized for use in connection with a specific offering, we intend to use the net proceeds from the sale of our securities pursuant to this prospectus for general corporate purposes, which may include, among other things, investing in accordance with our investment objective and strategies, repayment of any outstanding indebtedness, paying operating expenses and other general corporate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anticipate that substantially all of the net proceeds of an offering of securities pursuant to this prospectus and any applicable prospectus supplement or free writing prospectus will be used for the above purposes within three months of any such offering, depending on the availability of appropriate investment opportunities consistent with our investment objective, but no longer than within six months of any such offerings.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Pending such uses and investments, we intend to invest any net proceeds from an offering primarily in cash, cash equivalents, U.S. government securities and other high-quality investment grade investments that mature in one year or less from the date of investment. The income we earn on such temporary investments generally will be less than what we would expect to receive from investments in the types of investments we intend to target. Our ability to achieve our investment objective may be limited to the extent that the net proceeds from an offering, pending full investment, are held in interest-bearing deposits or other short-term instruments. The prospectus supplement relating to an offering will more fully identify the use of proceeds from any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9907"/>
      <w:bookmarkEnd w:id="22"/>
      <w:r>
        <w:rPr>
          <w:rFonts w:ascii="Times New Roman PS Std;serif" w:hAnsi="Times New Roman PS Std;serif"/>
          <w:b/>
          <w:i w:val="false"/>
          <w:caps w:val="false"/>
          <w:smallCaps w:val="false"/>
          <w:sz w:val="20"/>
        </w:rPr>
        <w:t xml:space="preserve">PRICE RANGE OF COMMON STOCK AND DISTRIBUTIONS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regarding our price range of common stock and distributions is incorporated by reference herein from our most recent Annual Report on Form 10-K and our most recent Quarterly Report on Form 10-Q.</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9908"/>
      <w:bookmarkEnd w:id="23"/>
      <w:r>
        <w:rPr>
          <w:rFonts w:ascii="Times New Roman PS Std;serif" w:hAnsi="Times New Roman PS Std;serif"/>
          <w:b/>
          <w:i w:val="false"/>
          <w:caps w:val="false"/>
          <w:smallCaps w:val="false"/>
          <w:sz w:val="20"/>
        </w:rPr>
        <w:t xml:space="preserve">MANAGEMENT’S DISCUSSION AND ANALYSIS OF </w:t>
        <w:br/>
        <w:t>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contained in “Part II, Item 7. Management’s Discussion and Analysis of Financial Condition and Results of Operations” of our most recent Annual Report on Form 10-K and in “Part I, Item 2. Management’s Discussion and Analysis of Financial Condition and Results of Operations” of our most recent Quarterly Report on Form 10-Q are incorporated by reference herein and should be read in conjunction with, and are qualified by reference to, our financial statements and notes thereto included in such Annual Report on Form 10-K and such Quarterly Report on Form 10-Q, as applicable.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9909"/>
      <w:bookmarkEnd w:id="24"/>
      <w:r>
        <w:rPr>
          <w:rFonts w:ascii="Times New Roman PS Std;serif" w:hAnsi="Times New Roman PS Std;serif"/>
          <w:b/>
          <w:i w:val="false"/>
          <w:caps w:val="false"/>
          <w:smallCaps w:val="false"/>
          <w:sz w:val="20"/>
        </w:rPr>
        <w:t xml:space="preserve">BUSINESS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contained in “Part I, Item 1. Business,” “Part I, Item 2. Properties” and “Part I, Item 3. Legal Proceedings” of our most recent Annual Report on Form 10-K, and in “Part II, Item 1. Legal Proceedings” of our most recent Quarterly Report on Form 10-Q are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9910"/>
      <w:bookmarkEnd w:id="25"/>
      <w:r>
        <w:rPr>
          <w:rFonts w:ascii="Times New Roman PS Std;serif" w:hAnsi="Times New Roman PS Std;serif"/>
          <w:b/>
          <w:i w:val="false"/>
          <w:caps w:val="false"/>
          <w:smallCaps w:val="false"/>
          <w:sz w:val="20"/>
        </w:rPr>
        <w:t xml:space="preserve">SENIOR SECURITIES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about our senior securities as of the end of our most recently completed fiscal quarter is located in “Part I, Item 1. Consolidated Financial Statements — Notes to Consolidated Financial Statements” of our most recent Quarterly Report on Form 10-Q and as of the end of our most recently completed fiscal year is located in “Part II, Item 8. Financial Statements and Supplementary Data — Notes to Consolidated Financial Statements” of our most recent Annual Report on Form 10-K, which are incorporated by reference herein. We had no senior securities outstanding as of December 31, 2019. The report of our independent registered public accounting firm, Ernst &amp; Young LLP, on our financial statements as of December 31, 2024 and 2023 and for each of the three years in the period ended December 31, 2024, 2023 and 2022 is included in our most recent Annual Report on Form 10-K (filed on February 26, 2025) and is incorporated by reference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9911"/>
      <w:bookmarkEnd w:id="26"/>
      <w:r>
        <w:rPr>
          <w:rFonts w:ascii="Times New Roman PS Std;serif" w:hAnsi="Times New Roman PS Std;serif"/>
          <w:b/>
          <w:i w:val="false"/>
          <w:caps w:val="false"/>
          <w:smallCaps w:val="false"/>
          <w:sz w:val="20"/>
        </w:rPr>
        <w:t xml:space="preserve">PORTFOLIO COMPANIES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set forth certain information regarding each of the portfolio companies in which we had a loan, equipment financing, equity or equity-related investment as of June 30, 2025. We will offer to make available significant managerial assistance to our portfolio companies. We may receive rights to observe the meetings of our portfolio companies’ board of directors. Other than these investments, our only relationships with our portfolio companies will be the managerial assistance we may separately provide to our portfolio companies, which services will be ancillary to our investments.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(Amounts presented in thousands, except number of shares or units.)</w:t>
      </w:r>
    </w:p>
    <w:tbl>
      <w:tblPr>
        <w:tblW w:w="12140" w:type="dxa"/>
        <w:jc w:val="left"/>
        <w:tblInd w:w="0" w:type="dxa"/>
        <w:tblLayout w:type="fixed"/>
        <w:tblCellMar>
          <w:top w:w="0" w:type="dxa"/>
          <w:left w:w="0" w:type="dxa"/>
          <w:bottom w:w="0" w:type="dxa"/>
          <w:right w:w="0" w:type="dxa"/>
        </w:tblCellMar>
      </w:tblPr>
      <w:tblGrid>
        <w:gridCol w:w="901"/>
        <w:gridCol w:w="146"/>
        <w:gridCol w:w="2026"/>
        <w:gridCol w:w="146"/>
        <w:gridCol w:w="1021"/>
        <w:gridCol w:w="146"/>
        <w:gridCol w:w="1081"/>
        <w:gridCol w:w="146"/>
        <w:gridCol w:w="766"/>
        <w:gridCol w:w="146"/>
        <w:gridCol w:w="811"/>
        <w:gridCol w:w="146"/>
        <w:gridCol w:w="946"/>
        <w:gridCol w:w="146"/>
        <w:gridCol w:w="1006"/>
        <w:gridCol w:w="146"/>
        <w:gridCol w:w="661"/>
        <w:gridCol w:w="146"/>
        <w:gridCol w:w="661"/>
        <w:gridCol w:w="946"/>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3DEO,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Industrials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24225 Granier St. Torrance, CA 90505</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2028</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0.1%; EOT 2.2%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2,064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2,077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2,032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23, 2032</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$1.81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37,218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3DEO, Inc.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2,064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2,170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2,032</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Aledia, Inc.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Industrials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 Rue des Méridiens 38130 Echirolles, France</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10.7%; EOT 7.0%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(9)(13)</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12.0%; EOT 7.0%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(9)(13)</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31, 2032</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Ordinary; Strike Price $149.02</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11,771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(9)(16)</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Aledia, Inc.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331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735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1,004</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All Seated, Inc.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311 California St., Ste 610 San Francisco, CA 94104</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28, 2032</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$15.72</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5,101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All.Space Networks Limited</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Thames Valley Park Drive Reading, Berkshire, England, RG6 1RB</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+ 7.0% or Floor rate 11.5%; EOT 2.5%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8,219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8,372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8,100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19, 2032</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$21.79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71,203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22,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$8.9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20,769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All.Space Networks Limited</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8,219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8,486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8,101</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Ambient Photronics,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 Enterprise Way, Ste. C205 Scotts Valley, CA 95066</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27,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$5.5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15,976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Apiject Holdings, Inc.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5775 Kearny Villa Rd San Diego, CA 92123</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12.6%; EOT 7.5%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15,752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16,067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16,151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2028</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12.7%; EOT 7.5%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6,639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6,679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6,690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24,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$0.99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937,604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Apiject Holdings, Inc.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22,391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23,358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23,342</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Applied Digital Corporation</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3811 Turtle Creek Blvd. Ste. 2100 Dallas, TX 75219</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19.0%;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1,755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1,754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1,786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(8)(9)(13)</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19.0%;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4,381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4,378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4,463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(8)(9)(13)(18)</w:t>
            </w:r>
            <w:r>
              <w:rPr>
                <w:rFonts w:ascii="Times New Roman PS Std;serif" w:hAnsi="Times New Roman PS Std;serif"/>
                <w:b w:val="false"/>
                <w:i w:val="false"/>
                <w:caps w:val="false"/>
                <w:smallCaps w:val="false"/>
                <w:sz w:val="20"/>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2405" w:type="dxa"/>
        <w:jc w:val="left"/>
        <w:tblInd w:w="0" w:type="dxa"/>
        <w:tblLayout w:type="fixed"/>
        <w:tblCellMar>
          <w:top w:w="0" w:type="dxa"/>
          <w:left w:w="0" w:type="dxa"/>
          <w:bottom w:w="0" w:type="dxa"/>
          <w:right w:w="0" w:type="dxa"/>
        </w:tblCellMar>
      </w:tblPr>
      <w:tblGrid>
        <w:gridCol w:w="1076"/>
        <w:gridCol w:w="146"/>
        <w:gridCol w:w="2026"/>
        <w:gridCol w:w="146"/>
        <w:gridCol w:w="1021"/>
        <w:gridCol w:w="146"/>
        <w:gridCol w:w="1171"/>
        <w:gridCol w:w="146"/>
        <w:gridCol w:w="766"/>
        <w:gridCol w:w="146"/>
        <w:gridCol w:w="811"/>
        <w:gridCol w:w="146"/>
        <w:gridCol w:w="946"/>
        <w:gridCol w:w="146"/>
        <w:gridCol w:w="1006"/>
        <w:gridCol w:w="146"/>
        <w:gridCol w:w="661"/>
        <w:gridCol w:w="146"/>
        <w:gridCol w:w="661"/>
        <w:gridCol w:w="946"/>
      </w:tblGrid>
      <w:tr>
        <w:trPr/>
        <w:tc>
          <w:tcPr>
            <w:tcW w:w="10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19.0%;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2,427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2,427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2,474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(8)(9)(13)(18)</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16.0%;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(8)(9)(13)</w:t>
            </w:r>
            <w:r>
              <w:rPr>
                <w:rFonts w:ascii="Times New Roman PS Std;serif" w:hAnsi="Times New Roman PS Std;serif"/>
                <w:b w:val="false"/>
                <w:i w:val="false"/>
                <w:caps w:val="false"/>
                <w:smallCaps w:val="false"/>
                <w:sz w:val="20"/>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19.0%;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3,932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3,931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4,008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(8)(9)(13)(18)</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Applied Digital Corporation</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13,609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13,604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13,864</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AST &amp; Science, LLC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Connectivity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2901 Enterprise Lane Midland, TX 79706</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2030</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12.4%; EOT 9.0%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18,920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18,785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18,786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(9)(13)(18)</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12.5%; EOT 9.0%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3,080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3,057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3,057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(9)(13)(18)</w:t>
            </w:r>
            <w:r>
              <w:rPr>
                <w:rFonts w:ascii="Times New Roman PS Std;serif" w:hAnsi="Times New Roman PS Std;serif"/>
                <w:b w:val="false"/>
                <w:i w:val="false"/>
                <w:caps w:val="false"/>
                <w:smallCaps w:val="false"/>
                <w:sz w:val="20"/>
              </w:rPr>
              <w:t> </w:t>
            </w:r>
          </w:p>
        </w:tc>
      </w:tr>
      <w:tr>
        <w:trPr/>
        <w:tc>
          <w:tcPr>
            <w:tcW w:w="107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AST &amp; Science, LLC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21,842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21,843</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Astranis Space Technologies Corp.</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420 Bryant St. San Francisco, CA 94107</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12.1%; EOT 6.5%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5,699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6,312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6,065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r>
              <w:rPr>
                <w:rFonts w:ascii="Times New Roman PS Std;serif" w:hAnsi="Times New Roman PS Std;serif"/>
                <w:b w:val="false"/>
                <w:i w:val="false"/>
                <w:caps w:val="false"/>
                <w:smallCaps w:val="false"/>
                <w:sz w:val="20"/>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13.8%; EOT 6.5%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9,504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10,072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9,666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12.6%;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2,270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2,218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2,239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r>
              <w:rPr>
                <w:rFonts w:ascii="Times New Roman PS Std;serif" w:hAnsi="Times New Roman PS Std;serif"/>
                <w:b w:val="false"/>
                <w:i w:val="false"/>
                <w:caps w:val="false"/>
                <w:smallCaps w:val="false"/>
                <w:sz w:val="20"/>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13, 2033</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$7.89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85,644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27,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$2.27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156,677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r>
              <w:rPr>
                <w:rFonts w:ascii="Times New Roman PS Std;serif" w:hAnsi="Times New Roman PS Std;serif"/>
                <w:b w:val="false"/>
                <w:i w:val="false"/>
                <w:caps w:val="false"/>
                <w:smallCaps w:val="false"/>
                <w:sz w:val="20"/>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26, 2035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39,557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Series C Prime Preferred</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13,685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r>
              <w:rPr>
                <w:rFonts w:ascii="Times New Roman PS Std;serif" w:hAnsi="Times New Roman PS Std;serif"/>
                <w:b w:val="false"/>
                <w:i w:val="false"/>
                <w:caps w:val="false"/>
                <w:smallCaps w:val="false"/>
                <w:sz w:val="20"/>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64,223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Astranis Space Technologies Corp.</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17,473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20,458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19,858</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Athletic Brewing Company, LLC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350 Long Beach Blvd. Stratford, CT 06615</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Class B</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r>
              <w:rPr>
                <w:rFonts w:ascii="Times New Roman PS Std;serif" w:hAnsi="Times New Roman PS Std;serif"/>
                <w:b w:val="false"/>
                <w:i w:val="false"/>
                <w:caps w:val="false"/>
                <w:smallCaps w:val="false"/>
                <w:sz w:val="20"/>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28,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Class B; Strike Price $140.21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3,741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07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Athletic Brewing Company, LLC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570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754</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Augmented Reality Concepts,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344 S Warren St. Syracuse, NY 13202</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18,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+ 7.3%;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19,270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18,937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19,358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r>
              <w:rPr>
                <w:rFonts w:ascii="Times New Roman PS Std;serif" w:hAnsi="Times New Roman PS Std;serif"/>
                <w:b w:val="false"/>
                <w:i w:val="false"/>
                <w:caps w:val="false"/>
                <w:smallCaps w:val="false"/>
                <w:sz w:val="20"/>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Axiom Space, Inc.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1290 Hercules Ave, First Floor Houston, TX 77058</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28, 2031</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$340.11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882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28, 2031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$169.24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1,773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3,624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07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Axiom Space, Inc.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681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424</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7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AZ-VC Fund I, LLC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Multi-Sector Holdings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7465 E Osborn Road Suite B Scottsdale, AZ 85251</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570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570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(6)(9)(16)</w:t>
            </w:r>
            <w:r>
              <w:rPr>
                <w:rFonts w:ascii="Times New Roman PS Std;serif" w:hAnsi="Times New Roman PS Std;serif"/>
                <w:b w:val="false"/>
                <w:i w:val="false"/>
                <w:caps w:val="false"/>
                <w:smallCaps w:val="false"/>
                <w:sz w:val="20"/>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820" w:type="dxa"/>
        <w:jc w:val="left"/>
        <w:tblInd w:w="0" w:type="dxa"/>
        <w:tblLayout w:type="fixed"/>
        <w:tblCellMar>
          <w:top w:w="0" w:type="dxa"/>
          <w:left w:w="0" w:type="dxa"/>
          <w:bottom w:w="0" w:type="dxa"/>
          <w:right w:w="0" w:type="dxa"/>
        </w:tblCellMar>
      </w:tblPr>
      <w:tblGrid>
        <w:gridCol w:w="986"/>
        <w:gridCol w:w="146"/>
        <w:gridCol w:w="1576"/>
        <w:gridCol w:w="146"/>
        <w:gridCol w:w="1021"/>
        <w:gridCol w:w="146"/>
        <w:gridCol w:w="1111"/>
        <w:gridCol w:w="146"/>
        <w:gridCol w:w="781"/>
        <w:gridCol w:w="146"/>
        <w:gridCol w:w="811"/>
        <w:gridCol w:w="146"/>
        <w:gridCol w:w="946"/>
        <w:gridCol w:w="146"/>
        <w:gridCol w:w="1006"/>
        <w:gridCol w:w="146"/>
        <w:gridCol w:w="661"/>
        <w:gridCol w:w="146"/>
        <w:gridCol w:w="661"/>
        <w:gridCol w:w="946"/>
      </w:tblGrid>
      <w:tr>
        <w:trPr/>
        <w:tc>
          <w:tcPr>
            <w:tcW w:w="9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BaubleBar,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1115 Broadway, 5</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4"/>
              </w:rPr>
              <w:t>Floor New York, NY 10010</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20, 2028</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$1.96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r>
              <w:rPr>
                <w:rFonts w:ascii="Times New Roman PS Std;serif" w:hAnsi="Times New Roman PS Std;serif"/>
                <w:b w:val="false"/>
                <w:i w:val="false"/>
                <w:caps w:val="false"/>
                <w:smallCaps w:val="false"/>
                <w:sz w:val="20"/>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29, 2027</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$1.96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531,806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638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BaubleBar,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710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Beam Technologies,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2000 Park Street Columbia, SC 29201</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2027</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+ 2.8% or Floor rate 11.0%+PIK Fixed Interest Rate 1.5%;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29,593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29,136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29,511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(7)(8)(14)(18)</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2027</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+ 2.8% or Floor rate 11.0%+PIK Fixed Interest Rate 1.5%;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2,371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2,301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2,301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(7)(8)(14)(18)</w:t>
            </w:r>
            <w:r>
              <w:rPr>
                <w:rFonts w:ascii="Times New Roman PS Std;serif" w:hAnsi="Times New Roman PS Std;serif"/>
                <w:b w:val="false"/>
                <w:i w:val="false"/>
                <w:caps w:val="false"/>
                <w:smallCaps w:val="false"/>
                <w:sz w:val="20"/>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30, 2034</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$17.28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47,479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632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Beam Technologies,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31,964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32,069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32,301</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Bestow,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2700 Commerce St, Ste. 1000 Dallas, TX 75226</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2034</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C-2;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349,793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1,987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2,388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BetterLeap,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Human Resource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 Francisco St., Ste 800 San Francisco, CA 94133</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20, 2032</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$2.26152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88,435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BoardRE,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Real Estate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280 Detroit St. Denver, CO 80206</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2026</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+ 8.3% or Floor rate 11.5%; EOT 4.5%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2,701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2,926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2,867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Bolb,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 Wright Brothers Ave Livermore, CA 94551</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12, 2031</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181,784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Boosted eCommerce,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9903 Santa Monica Blvd., Ste 605 Beverly Hills, CA 90212</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14, 2030</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 Strike Price $0.8446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759,263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Busbot,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 Town Square Place Suite 1203 #1067 Jersey City, NJ 07310</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2026</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30 Day Forward + 11.5% or Floor rate 13.5%;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10,400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10,289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10,289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(7)(9)(11)(20)</w:t>
            </w:r>
            <w:r>
              <w:rPr>
                <w:rFonts w:ascii="Times New Roman PS Std;serif" w:hAnsi="Times New Roman PS Std;serif"/>
                <w:b w:val="false"/>
                <w:i w:val="false"/>
                <w:caps w:val="false"/>
                <w:smallCaps w:val="false"/>
                <w:sz w:val="20"/>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539,490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(9)(11)(16)(20)</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2034</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$0.96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44,133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w:t>
            </w:r>
            <w:r>
              <w:rPr>
                <w:rFonts w:ascii="Times New Roman PS Std;serif" w:hAnsi="Times New Roman PS Std;serif"/>
                <w:b w:val="false"/>
                <w:i w:val="false"/>
                <w:caps w:val="false"/>
                <w:smallCaps w:val="false"/>
                <w:sz w:val="20"/>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14, 2035</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$0.36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13,498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w:t>
            </w:r>
            <w:r>
              <w:rPr>
                <w:rFonts w:ascii="Times New Roman PS Std;serif" w:hAnsi="Times New Roman PS Std;serif"/>
                <w:b w:val="false"/>
                <w:i w:val="false"/>
                <w:caps w:val="false"/>
                <w:smallCaps w:val="false"/>
                <w:sz w:val="20"/>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Busbot,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10,400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10,883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10,586</w:t>
            </w:r>
          </w:p>
        </w:tc>
        <w:tc>
          <w:tcPr>
            <w:tcW w:w="946"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2170" w:type="dxa"/>
        <w:jc w:val="left"/>
        <w:tblInd w:w="0" w:type="dxa"/>
        <w:tblLayout w:type="fixed"/>
        <w:tblCellMar>
          <w:top w:w="0" w:type="dxa"/>
          <w:left w:w="0" w:type="dxa"/>
          <w:bottom w:w="0" w:type="dxa"/>
          <w:right w:w="0" w:type="dxa"/>
        </w:tblCellMar>
      </w:tblPr>
      <w:tblGrid>
        <w:gridCol w:w="901"/>
        <w:gridCol w:w="146"/>
        <w:gridCol w:w="2026"/>
        <w:gridCol w:w="146"/>
        <w:gridCol w:w="1021"/>
        <w:gridCol w:w="146"/>
        <w:gridCol w:w="1111"/>
        <w:gridCol w:w="146"/>
        <w:gridCol w:w="766"/>
        <w:gridCol w:w="146"/>
        <w:gridCol w:w="811"/>
        <w:gridCol w:w="146"/>
        <w:gridCol w:w="946"/>
        <w:gridCol w:w="146"/>
        <w:gridCol w:w="1006"/>
        <w:gridCol w:w="146"/>
        <w:gridCol w:w="661"/>
        <w:gridCol w:w="146"/>
        <w:gridCol w:w="661"/>
        <w:gridCol w:w="946"/>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B.Well Connected Health,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145 W Ostend St, Suite 300 Baltimore, MD 21230</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+ 4.3% or Floor rate 11.8%;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9,244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9,244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10, 2035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106,824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(18)</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B.Well Connected Health, Inc.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9,400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9,423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9,424</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Cabernet AI, Inc.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1434 Spruce Street Suite 100 Boulder, CO 80302</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SAFE Note</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500</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Cagent Vascular,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 Strafford Ave Suite 315 Wayne, PA 19087</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11.3%;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4,050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4,020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4,146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Cart.com, Inc.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1334 Brittmoore Rd., Ste. 225 Houston, TX 77043</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11,533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590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17, 2033</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$15.87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31,572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Cart.com,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940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1,419</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Cellares Corporation</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Other Healthcare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341 Allerton Ave South San Francisco, CA 94080</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+ 3.3% or Floor rate 11.8%;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46,974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47,675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12.0%; EOT 4.5%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4,099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4,143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4,205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(13)(18)</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12.2%; EOT 4.5%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5,619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5,634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5,620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2030</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12.5%; EOT 4.5%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3,432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3,439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3,431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(13)(18)</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2,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$4.77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243,868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Cellares Corporation</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60,150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61,031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62,198</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Centivo Corporation</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199 Scott Street, Suite 800 Buffalo, NY 14204</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11.3%+PIK Fixed Interest Rate 1.0%;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3,784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3,719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3,771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11.3%+PIK Fixed Interest Rate 1.0%;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3,770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3,590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3,616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11.3%+PIK Fixed Interest Rate 1.0%;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3,765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3,599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3,630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r>
              <w:rPr>
                <w:rFonts w:ascii="Times New Roman PS Std;serif" w:hAnsi="Times New Roman PS Std;serif"/>
                <w:b w:val="false"/>
                <w:i w:val="false"/>
                <w:caps w:val="false"/>
                <w:smallCaps w:val="false"/>
                <w:sz w:val="20"/>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11.3%+PIK Fixed Interest Rate 1.0%;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7,509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7,163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7,163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r>
              <w:rPr>
                <w:rFonts w:ascii="Times New Roman PS Std;serif" w:hAnsi="Times New Roman PS Std;serif"/>
                <w:b w:val="false"/>
                <w:i w:val="false"/>
                <w:caps w:val="false"/>
                <w:smallCaps w:val="false"/>
                <w:sz w:val="20"/>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11.3%+PIK Fixed Interest Rate 1.0%;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3,752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3,574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3,574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r>
              <w:rPr>
                <w:rFonts w:ascii="Times New Roman PS Std;serif" w:hAnsi="Times New Roman PS Std;serif"/>
                <w:b w:val="false"/>
                <w:i w:val="false"/>
                <w:caps w:val="false"/>
                <w:smallCaps w:val="false"/>
                <w:sz w:val="20"/>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2375" w:type="dxa"/>
        <w:jc w:val="left"/>
        <w:tblInd w:w="0" w:type="dxa"/>
        <w:tblLayout w:type="fixed"/>
        <w:tblCellMar>
          <w:top w:w="0" w:type="dxa"/>
          <w:left w:w="0" w:type="dxa"/>
          <w:bottom w:w="0" w:type="dxa"/>
          <w:right w:w="0" w:type="dxa"/>
        </w:tblCellMar>
      </w:tblPr>
      <w:tblGrid>
        <w:gridCol w:w="1121"/>
        <w:gridCol w:w="146"/>
        <w:gridCol w:w="2026"/>
        <w:gridCol w:w="146"/>
        <w:gridCol w:w="1021"/>
        <w:gridCol w:w="146"/>
        <w:gridCol w:w="1081"/>
        <w:gridCol w:w="146"/>
        <w:gridCol w:w="781"/>
        <w:gridCol w:w="146"/>
        <w:gridCol w:w="811"/>
        <w:gridCol w:w="146"/>
        <w:gridCol w:w="946"/>
        <w:gridCol w:w="146"/>
        <w:gridCol w:w="1006"/>
        <w:gridCol w:w="146"/>
        <w:gridCol w:w="661"/>
        <w:gridCol w:w="146"/>
        <w:gridCol w:w="661"/>
        <w:gridCol w:w="946"/>
      </w:tblGrid>
      <w:tr>
        <w:trPr/>
        <w:tc>
          <w:tcPr>
            <w:tcW w:w="11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128,393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r>
              <w:rPr>
                <w:rFonts w:ascii="Times New Roman PS Std;serif" w:hAnsi="Times New Roman PS Std;serif"/>
                <w:b w:val="false"/>
                <w:i w:val="false"/>
                <w:caps w:val="false"/>
                <w:smallCaps w:val="false"/>
                <w:sz w:val="20"/>
              </w:rPr>
              <w:t> </w:t>
            </w:r>
          </w:p>
        </w:tc>
      </w:tr>
      <w:tr>
        <w:trPr/>
        <w:tc>
          <w:tcPr>
            <w:tcW w:w="11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31, 2034</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80,578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r>
              <w:rPr>
                <w:rFonts w:ascii="Times New Roman PS Std;serif" w:hAnsi="Times New Roman PS Std;serif"/>
                <w:b w:val="false"/>
                <w:i w:val="false"/>
                <w:caps w:val="false"/>
                <w:smallCaps w:val="false"/>
                <w:sz w:val="20"/>
              </w:rPr>
              <w:t> </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31, 2034</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80,577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31, 2034</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80,578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31, 2034</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161,157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296</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31, 2034</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80,578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Centivo Corporation</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22,580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22,875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22,958</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Cherry Technologies,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2261 Market St., Suite 4869 San Francisco, CA 94114</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2029</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+ 2.5% or Floor rate 9.5%;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7,235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7,506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7,389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2029</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+ 2.5% or Floor rate 9.5%;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7,235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7,512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7,379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Cherry Technologies, Inc.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14,470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15,018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14,768</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Cirrascale Cloud Services, LLC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5775 Kearny Villa Rd San Diego, CA 92123</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2026</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12.7%;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13,549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14,225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14,322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11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2027</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10.2%; EOT 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12,743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13,266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13,292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Cirrascale Cloud Services, LLC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26,292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27,491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27,614</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CMR Surgical Limited</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 Evolution Business Park, Milton Road Cambridge, England CB24 9NG</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2030</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11.0%;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29,684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30,559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(7)(9)(13)(18)</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24, 2030</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Ordinary;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7,680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(9)(18)</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CMR Surgical Limited</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30,000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29,808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30,673</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Commonwealth Fusion Systems, LLC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148 Sidney St.</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2030</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13.0%; EOT 10.0%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3,228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3,387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3,459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Cambridge, MA 02139</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2030</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13.2%; EOT 10.0%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9,339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9,537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9,764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2029</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11.2%; EOT 6.0%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11,674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11,721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11,926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Commonwealth Fusion Systems, LLC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24,241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24,645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25,149</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Convergent Dental, Inc.</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140 Kendrick St., Ste C110 Needham, MA 02494</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21, 2033</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$1.61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446,982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493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11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12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Cpacket Networks, Inc.</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480 N McCarthy Blvd, Suite 100 Milpitas, CA 95035</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2029</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+ 4.8% or Floor rate 12.0%+PIK Fixed Interest Rate 1.3%;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20,607</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20,553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20,751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w:t>
            </w:r>
          </w:p>
        </w:tc>
      </w:tr>
      <w:tr>
        <w:trPr/>
        <w:tc>
          <w:tcPr>
            <w:tcW w:w="11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29, 2034</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B Common; Strike Price $0.36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499,366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r>
      <w:tr>
        <w:trPr/>
        <w:tc>
          <w:tcPr>
            <w:tcW w:w="112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Cpacket Networks, Inc.</w:t>
            </w:r>
          </w:p>
        </w:tc>
        <w:tc>
          <w:tcPr>
            <w:tcW w:w="146" w:type="dxa"/>
            <w:tcBorders/>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20,607</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20,719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20,840</w:t>
            </w:r>
          </w:p>
        </w:tc>
        <w:tc>
          <w:tcPr>
            <w:tcW w:w="946"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310" w:type="dxa"/>
        <w:jc w:val="left"/>
        <w:tblInd w:w="0" w:type="dxa"/>
        <w:tblLayout w:type="fixed"/>
        <w:tblCellMar>
          <w:top w:w="0" w:type="dxa"/>
          <w:left w:w="0" w:type="dxa"/>
          <w:bottom w:w="0" w:type="dxa"/>
          <w:right w:w="0" w:type="dxa"/>
        </w:tblCellMar>
      </w:tblPr>
      <w:tblGrid>
        <w:gridCol w:w="986"/>
        <w:gridCol w:w="146"/>
        <w:gridCol w:w="1156"/>
        <w:gridCol w:w="146"/>
        <w:gridCol w:w="1021"/>
        <w:gridCol w:w="146"/>
        <w:gridCol w:w="1171"/>
        <w:gridCol w:w="146"/>
        <w:gridCol w:w="766"/>
        <w:gridCol w:w="146"/>
        <w:gridCol w:w="811"/>
        <w:gridCol w:w="146"/>
        <w:gridCol w:w="946"/>
        <w:gridCol w:w="146"/>
        <w:gridCol w:w="1006"/>
        <w:gridCol w:w="146"/>
        <w:gridCol w:w="571"/>
        <w:gridCol w:w="146"/>
        <w:gridCol w:w="616"/>
        <w:gridCol w:w="946"/>
      </w:tblGrid>
      <w:tr>
        <w:trPr/>
        <w:tc>
          <w:tcPr>
            <w:tcW w:w="9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Crowdtap,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625 Broadway, 5</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New York, NY 10012</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16, 2025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$1.09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442,233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727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11, 2027</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$1.09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100,000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Crowdtap, Inc.</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51</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892</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Crusoe Energy Systems LLC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255 Fillmore St. Denver, CO 80206</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11,140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325</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Daily Pay,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55 Broad St., 29</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New York, NY 10004</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89,264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151</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1,823</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Dandelion Energy, Inc.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335 Madison Ave., 4</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4"/>
              </w:rPr>
              <w:t>Floor New York, NY 10017</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15.9%;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1,361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1,361</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1,379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Daring Foods,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3505 Helms, Ave. Culver City, CA 90232</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8, 2031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$0.27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68,100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61</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Delphinus Medical Technologies, Inc.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45525 Grand River Ave. Novi, MI 48374</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27, 2033</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E; Strike Price $0.69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294,288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29</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Dentologie Enterprises,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333 N. Green St., Unit 805 Chicago, IL 60607</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14,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51,632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72,338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Dentologie Enterprises, Inc.</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366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433</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DrinkPak, LLC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21375 Needham Ranch Parkway Santa Clarita, CA 91321</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12.9%; EOT 7.0%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5,252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6,177</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6,148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13,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$19.12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2,387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17, 2033</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$18.89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12,010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DrinkPak, LLC</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5,252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6,210</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6,464</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Drone Racing League, Inc.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Marketing, Media, and Entertainment</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40 West 27</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8</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New York, NY 10001</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+ 7.5% or Floor rate 11.0%;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4,729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4,938</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4,826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17,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$6.76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253,824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375</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Drone Racing League,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4,729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5,313</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4,826</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Dynamics,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493 Nixon Rd. Cheswick, PA 15024</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17,726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390</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265" w:type="dxa"/>
        <w:jc w:val="left"/>
        <w:tblInd w:w="0" w:type="dxa"/>
        <w:tblLayout w:type="fixed"/>
        <w:tblCellMar>
          <w:top w:w="0" w:type="dxa"/>
          <w:left w:w="0" w:type="dxa"/>
          <w:bottom w:w="0" w:type="dxa"/>
          <w:right w:w="0" w:type="dxa"/>
        </w:tblCellMar>
      </w:tblPr>
      <w:tblGrid>
        <w:gridCol w:w="956"/>
        <w:gridCol w:w="146"/>
        <w:gridCol w:w="946"/>
        <w:gridCol w:w="146"/>
        <w:gridCol w:w="1021"/>
        <w:gridCol w:w="146"/>
        <w:gridCol w:w="1111"/>
        <w:gridCol w:w="146"/>
        <w:gridCol w:w="766"/>
        <w:gridCol w:w="146"/>
        <w:gridCol w:w="811"/>
        <w:gridCol w:w="146"/>
        <w:gridCol w:w="1066"/>
        <w:gridCol w:w="146"/>
        <w:gridCol w:w="1006"/>
        <w:gridCol w:w="146"/>
        <w:gridCol w:w="661"/>
        <w:gridCol w:w="146"/>
        <w:gridCol w:w="661"/>
        <w:gridCol w:w="946"/>
      </w:tblGrid>
      <w:tr>
        <w:trPr/>
        <w:tc>
          <w:tcPr>
            <w:tcW w:w="9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Earthdaily Constellation Holdings, LP</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1055 Canada Pl, 30 Vancouver, British Columbia, Canada V6C 0C3</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13.5%; EOT 7.0%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28,200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27,315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27,315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(9)(13)(18)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10, 2035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B Common Stock; Strike Price $0.81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2,210,342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1,236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1,288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(9)(18)</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28,200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28,551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28,603</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Edblox, Inc.</w:t>
            </w:r>
          </w:p>
        </w:tc>
        <w:tc>
          <w:tcPr>
            <w:tcW w:w="146"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Education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 E Washington St Suite 825 Chicago, IL 60602</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11.8%;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15,000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14,939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13,617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19,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$1.71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111458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Edblox, Inc.</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15,000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15,091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13,617</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Edeniq, Inc.</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2505 N Shirk Rd. Visalia, CA 93291</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23,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$0.22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2,685,501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596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23,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2,184,672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936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29,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$0.44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5,106,972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2,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3,850,294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1,825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29, 2031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154,906,320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8,525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3,657,487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1,770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7,807,499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3,422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133,766,138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9,037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Edeniq, Inc.</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26,392</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Electric Hydrogen Co.</w:t>
            </w:r>
          </w:p>
        </w:tc>
        <w:tc>
          <w:tcPr>
            <w:tcW w:w="146"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835 E. San Carlos Ave., Ste 100 San Carlos, CA 94070</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9.0%; EOT 10.0%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489</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672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12.5%; EOT 15.0%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3,519</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3,840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3,801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12.6%; EOT 15.0%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2,885</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3,057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3,062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2028</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12.5%; EOT 15.0%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1,754</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1,844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1,836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11.9%; EOT 15.0%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419</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87,112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Electric Hydrogen Co.</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9,066</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10,360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10,107</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Elucent Medical, Inc.</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6509 Flying Cloud Dr, Suite 160 Eden Prairie, MN 55344</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30,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+ 3.8% or Floor rate 11.3%; EOT 3.3%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12,150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11,983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12,144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31,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C-2; Strike Price $0.2985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1,628,141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Elucent Medical, Inc.</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12,150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12,127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12,554</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Emerald Cloud, Inc.</w:t>
            </w:r>
          </w:p>
        </w:tc>
        <w:tc>
          <w:tcPr>
            <w:tcW w:w="146"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844 Dubuque Ave South San Francisco, CA 94080</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499,999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617,890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Emerald Cloud, Inc.</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629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281</w:t>
            </w:r>
          </w:p>
        </w:tc>
        <w:tc>
          <w:tcPr>
            <w:tcW w:w="946"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865" w:type="dxa"/>
        <w:jc w:val="left"/>
        <w:tblInd w:w="0" w:type="dxa"/>
        <w:tblLayout w:type="fixed"/>
        <w:tblCellMar>
          <w:top w:w="0" w:type="dxa"/>
          <w:left w:w="0" w:type="dxa"/>
          <w:bottom w:w="0" w:type="dxa"/>
          <w:right w:w="0" w:type="dxa"/>
        </w:tblCellMar>
      </w:tblPr>
      <w:tblGrid>
        <w:gridCol w:w="986"/>
        <w:gridCol w:w="146"/>
        <w:gridCol w:w="1576"/>
        <w:gridCol w:w="146"/>
        <w:gridCol w:w="1021"/>
        <w:gridCol w:w="146"/>
        <w:gridCol w:w="1171"/>
        <w:gridCol w:w="146"/>
        <w:gridCol w:w="766"/>
        <w:gridCol w:w="146"/>
        <w:gridCol w:w="811"/>
        <w:gridCol w:w="146"/>
        <w:gridCol w:w="946"/>
        <w:gridCol w:w="146"/>
        <w:gridCol w:w="1006"/>
        <w:gridCol w:w="146"/>
        <w:gridCol w:w="661"/>
        <w:gridCol w:w="146"/>
        <w:gridCol w:w="661"/>
        <w:gridCol w:w="946"/>
      </w:tblGrid>
      <w:tr>
        <w:trPr/>
        <w:tc>
          <w:tcPr>
            <w:tcW w:w="9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Emergy,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6880 Winchester Cir., Unit D Boulder, CO 80301</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12.7%; EOT 11.5%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3,183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3,992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1,401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(17)</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2027</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9.4%; EOT 11.5%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6,183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6,970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2,721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(8)(17)</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7,595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5, 2032</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$39.6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4,051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Emergy,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9,366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11,643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4,122</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Empower Financial,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8515 E. Orchard Road Greenwood Village, CO 80111</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+ 4.8% or Floor rate 11.5%; EOT 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11,622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11,602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11,739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2028</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+ 4.8% or Floor rate 11.5%; EOT 3.8%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2,902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2,842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2,882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+ 4.8% or Floor rate 11.5%; EOT 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4,353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4,260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4,321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2028</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+ 4.8% or Floor rate 11.5%; EOT 3.8%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4,348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4,151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4,200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+ 4.8% or Floor rate 11.5%; EOT 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14,495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14,661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14,937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13, 2033</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$1.43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404,893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1,713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2,810,235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21,974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300,285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4,023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1,585</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Empower Financial,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37,720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62,492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63,351</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EPT 16, LLC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4"/>
              </w:rPr>
              <w:t>Multi-Sector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4"/>
              </w:rPr>
              <w:t>Holdings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600 Steamboat Rd., Suite 202 Greenwich, CT 06830</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9,215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9,861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(6)(9)(16)(21)</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Eqis Capital Management,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1000 4</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Ste 650 San Rafael, CA 94901</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+ 7.5% or Floor rate 10.8%;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6,469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6,679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6,618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15,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Class B;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904,000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Eqis Capital Management,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6,469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6,689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6,704</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Equipment Leasing Services, LLC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Transportation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9977 North 95</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4"/>
              </w:rPr>
              <w:t>Street, Scottsdale, AZ 85258</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2028</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10.1%; EOT 12.0%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2,986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3,020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3,022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(13)(18)</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10.0%; EOT 12.0%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2,293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2,311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2,311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(13)(18)</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Equipment Leasing Services, LLC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5,279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5,331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5,333</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Eterneva,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4115 Friedrich Ln, Ste. 150 Austin, TX 78744</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7.8%; EOT 11.5%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161</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8.1%; EOT 11.5%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283</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2027</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11.9%; EOT 11.5%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1,076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892</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$0.48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833,333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Eterneva,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1,466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2,085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1,339</w:t>
            </w:r>
          </w:p>
        </w:tc>
        <w:tc>
          <w:tcPr>
            <w:tcW w:w="946"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355" w:type="dxa"/>
        <w:jc w:val="left"/>
        <w:tblInd w:w="0" w:type="dxa"/>
        <w:tblLayout w:type="fixed"/>
        <w:tblCellMar>
          <w:top w:w="0" w:type="dxa"/>
          <w:left w:w="0" w:type="dxa"/>
          <w:bottom w:w="0" w:type="dxa"/>
          <w:right w:w="0" w:type="dxa"/>
        </w:tblCellMar>
      </w:tblPr>
      <w:tblGrid>
        <w:gridCol w:w="986"/>
        <w:gridCol w:w="146"/>
        <w:gridCol w:w="1156"/>
        <w:gridCol w:w="146"/>
        <w:gridCol w:w="1021"/>
        <w:gridCol w:w="146"/>
        <w:gridCol w:w="1111"/>
        <w:gridCol w:w="146"/>
        <w:gridCol w:w="736"/>
        <w:gridCol w:w="146"/>
        <w:gridCol w:w="811"/>
        <w:gridCol w:w="146"/>
        <w:gridCol w:w="946"/>
        <w:gridCol w:w="146"/>
        <w:gridCol w:w="1006"/>
        <w:gridCol w:w="146"/>
        <w:gridCol w:w="661"/>
        <w:gridCol w:w="146"/>
        <w:gridCol w:w="661"/>
        <w:gridCol w:w="946"/>
      </w:tblGrid>
      <w:tr>
        <w:trPr/>
        <w:tc>
          <w:tcPr>
            <w:tcW w:w="9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Everalbum,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 Letterman Dr., Building C, Suite 3500 San Francisco, CA 94129</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29, 2026</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Stock; Strike Price $0.1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851,063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Exer Holdings, LLC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15503 Ventura Blvd. Encino, CA 91436</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19, 2031</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$527.51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Eyelit Technologies,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101 Crawfords Corner Rd Suite 2221 Holmdel, NJ 07733</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4, 2029</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+ 5.8%;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4,422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4,569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(7)(13)(18)(19)</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4, 2029</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+ 5.8%;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7,920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7,778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8,042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(7)(13)(18)(19)</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4, 2029</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+ 5.8%;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882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882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(7)(13)(18)(19)</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Eyelit Technologies,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13,320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13,082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13,493</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Firefly Systems,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Marketing, Media, and Entertainment</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488 8</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San Francisco, CA 94103</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29, 2030</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$1.14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133,147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127</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Footprint International Holding, Inc.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 E. Germann Rd.Gilbert, AZ 85927</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2027</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+ 7.3% or Floor rate 10.5%; EOT 3.5%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12,757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12,948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12,266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2027</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+ 7.3% or Floor rate 10.5%; EOT 3.5%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12,757</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12,928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12,243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14, 2030</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$0.31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38,171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18, 2032</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77,524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4,246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23, 2032</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14,624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31, 2034</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Class F; Strike Price $25000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Footprint International Holding,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25,514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30,490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24,509</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Form Energy,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 Dane St</w:t>
              <w:br/>
              <w:t>Somerville, MA 02143</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 2027</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12.7%;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26,049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25,929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26,250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2028</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12.5%;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6,927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6,863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6,936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21, 2034</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$8.03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85556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Form Energy,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32,976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33,588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34,037</w:t>
            </w:r>
          </w:p>
        </w:tc>
        <w:tc>
          <w:tcPr>
            <w:tcW w:w="946"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161" w:type="dxa"/>
        <w:jc w:val="left"/>
        <w:tblInd w:w="0" w:type="dxa"/>
        <w:tblLayout w:type="fixed"/>
        <w:tblCellMar>
          <w:top w:w="0" w:type="dxa"/>
          <w:left w:w="0" w:type="dxa"/>
          <w:bottom w:w="0" w:type="dxa"/>
          <w:right w:w="0" w:type="dxa"/>
        </w:tblCellMar>
      </w:tblPr>
      <w:tblGrid>
        <w:gridCol w:w="926"/>
        <w:gridCol w:w="146"/>
        <w:gridCol w:w="986"/>
        <w:gridCol w:w="146"/>
        <w:gridCol w:w="1021"/>
        <w:gridCol w:w="146"/>
        <w:gridCol w:w="971"/>
        <w:gridCol w:w="146"/>
        <w:gridCol w:w="736"/>
        <w:gridCol w:w="146"/>
        <w:gridCol w:w="811"/>
        <w:gridCol w:w="146"/>
        <w:gridCol w:w="976"/>
        <w:gridCol w:w="146"/>
        <w:gridCol w:w="1006"/>
        <w:gridCol w:w="146"/>
        <w:gridCol w:w="661"/>
        <w:gridCol w:w="146"/>
        <w:gridCol w:w="661"/>
        <w:gridCol w:w="901"/>
        <w:gridCol w:w="191"/>
      </w:tblGrid>
      <w:tr>
        <w:trPr/>
        <w:tc>
          <w:tcPr>
            <w:tcW w:w="9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9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Get Spiffy, Inc.</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Transportation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2750 W. Camelback Rd. Phoenix, </w:t>
              <w:br/>
              <w:t>AZ 85017</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14, 2028</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12.3%; EOT 6.0%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9,187</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9,374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7,906</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2027</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12.1%;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227</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227</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16,024,208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14, 2033</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874,527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Get Spiffy, Inc.</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9,414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10,049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8,191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GoFor Delivers, Inc.</w:t>
            </w:r>
          </w:p>
        </w:tc>
        <w:tc>
          <w:tcPr>
            <w:tcW w:w="146" w:type="dxa"/>
            <w:tcBorders/>
          </w:tcPr>
          <w:p>
            <w:pPr>
              <w:pStyle w:val="TableContents"/>
              <w:bidi w:val="0"/>
              <w:spacing w:before="0" w:after="283"/>
              <w:jc w:val="left"/>
              <w:rPr/>
            </w:pPr>
            <w:r>
              <w:rPr/>
              <w:t> </w:t>
            </w:r>
          </w:p>
        </w:tc>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Supply Chain Technology</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360 Kirkwood Ave.</w:t>
              <w:br/>
              <w:t>Ottawa, ON, Canada K1Z8P1</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2028</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+ 3.5% or Floor rate 12.0%;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6,048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5,839</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Series 2 Seed</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194,329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977</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(9)(21)</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GoFor Delivers, Inc.</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6,000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6,708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6,816</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Grabit Interactive Media, Inc.</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Marketing, Media, and Entertainment</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10900 Research Blvd., Ste. 160C</w:t>
              <w:br/>
              <w:t>Austin, TX 78759</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 2026</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+ 7.5% or Floor rate 10.8%; EOT 2.5%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2,386</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2,479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2,445</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8, 2034</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 Strike Price $1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142,828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Grabit Interactive Media, Inc.</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2,386</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2,519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2,474</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Gravie, Inc.</w:t>
            </w:r>
          </w:p>
        </w:tc>
        <w:tc>
          <w:tcPr>
            <w:tcW w:w="146" w:type="dxa"/>
            <w:tcBorders/>
          </w:tcPr>
          <w:p>
            <w:pPr>
              <w:pStyle w:val="TableContents"/>
              <w:bidi w:val="0"/>
              <w:spacing w:before="0" w:after="283"/>
              <w:jc w:val="left"/>
              <w:rPr/>
            </w:pPr>
            <w:r>
              <w:rPr/>
              <w:t> </w:t>
            </w:r>
          </w:p>
        </w:tc>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10 NE 2</w:t>
            </w:r>
            <w:r>
              <w:rPr>
                <w:rFonts w:ascii="Times New Roman PS Std;serif" w:hAnsi="Times New Roman PS Std;serif"/>
                <w:b w:val="false"/>
                <w:i w:val="false"/>
                <w:caps w:val="false"/>
                <w:smallCaps w:val="false"/>
                <w:sz w:val="8"/>
              </w:rPr>
              <w:t>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Street, Suite #300 Minneapolis, MN 55413</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2029</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13.0%;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15,980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15,767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15,547</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4, 2034</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$2.68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123,816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Gravie, Inc.</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15,980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16,060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15,556</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GrubMarket, Inc.</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1925 Jerrold Ave</w:t>
              <w:br/>
              <w:t>San Francisco, CA 94124</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15, 2030</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405,000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7,291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Gtxcel, Inc.</w:t>
            </w:r>
          </w:p>
        </w:tc>
        <w:tc>
          <w:tcPr>
            <w:tcW w:w="146" w:type="dxa"/>
            <w:tcBorders/>
          </w:tcPr>
          <w:p>
            <w:pPr>
              <w:pStyle w:val="TableContents"/>
              <w:bidi w:val="0"/>
              <w:spacing w:before="0" w:after="283"/>
              <w:jc w:val="left"/>
              <w:rPr/>
            </w:pPr>
            <w:r>
              <w:rPr/>
              <w:t> </w:t>
            </w:r>
          </w:p>
        </w:tc>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2855 Telegraph Ave., Suite 600</w:t>
              <w:br/>
              <w:t>Berkeley, CA 94705</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24, 2025</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$0.21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1,000,000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24, 2025</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$0.21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1,000,000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Gtxcel, Inc.</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Hadrian Automation Inc.</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12605 S. Van Ness Ave. Hawthorne, CA 90250</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2025</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12.6%;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 2025</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12.9%;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702</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719</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2026</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14.3%;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665</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682</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2026</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15.2%;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1,426</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1,424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1,467</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2026</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15.0%;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427</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438</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2026</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15.5%;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215</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222</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2027</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15.7%;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707</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730</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2027</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17.7%;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399</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414</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886" w:type="dxa"/>
        <w:jc w:val="left"/>
        <w:tblInd w:w="0" w:type="dxa"/>
        <w:tblLayout w:type="fixed"/>
        <w:tblCellMar>
          <w:top w:w="0" w:type="dxa"/>
          <w:left w:w="0" w:type="dxa"/>
          <w:bottom w:w="0" w:type="dxa"/>
          <w:right w:w="0" w:type="dxa"/>
        </w:tblCellMar>
      </w:tblPr>
      <w:tblGrid>
        <w:gridCol w:w="901"/>
        <w:gridCol w:w="146"/>
        <w:gridCol w:w="1826"/>
        <w:gridCol w:w="146"/>
        <w:gridCol w:w="1021"/>
        <w:gridCol w:w="146"/>
        <w:gridCol w:w="911"/>
        <w:gridCol w:w="146"/>
        <w:gridCol w:w="736"/>
        <w:gridCol w:w="146"/>
        <w:gridCol w:w="811"/>
        <w:gridCol w:w="146"/>
        <w:gridCol w:w="946"/>
        <w:gridCol w:w="146"/>
        <w:gridCol w:w="1006"/>
        <w:gridCol w:w="146"/>
        <w:gridCol w:w="661"/>
        <w:gridCol w:w="146"/>
        <w:gridCol w:w="661"/>
        <w:gridCol w:w="901"/>
        <w:gridCol w:w="191"/>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2028</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17.6%;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1,168</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A-4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53,154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458</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B-1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31,831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274</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Hadrian Automation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5,719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6,508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6,616</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Happiest Baby,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3115 South La Cienega Blvd. Los Angeles, CA 90016</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16, 2029</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$0.33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182,554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Hermeus Corporation</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3960 Dekalb Technology Pkwy Atlanta, GA 30340</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9, 2032</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$6.24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19,286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131</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Hi-Power, LLC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 Braddock Ave. Turtle Creek, PA 15145</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2026</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14.7%; EOT 1.0%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1,080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1,118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1,137</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Hologram,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1N LaSalle St., Suite 850 Chicago, IL 60602</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27, 2030</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$0.26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193,054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76</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Homelight,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Real Estate Technology</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1375 N. Scottsdale Rd., Ste. 140</w:t>
              <w:br/>
              <w:t>Scottsdale, AZ 85257</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23, 2032</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$18.4</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5,434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Hometown Ticketing,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4305 W Dublin Granville Rd</w:t>
              <w:br/>
              <w:t>Dublin, OH 43017</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25, 2029</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+ 7.7%;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24,785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24,348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24,937</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Hospitalists Now,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7500 Rialto Blvd., Building 1, Suite 140</w:t>
              <w:br/>
              <w:t>Austin, TX 78735</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30, 2026</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D-2; Strike Price $5.89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135,807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6, 2026</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D-2; Strike Price $5.89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750,000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102</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Hospitalists Now,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462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120</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Impulse Space,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2651 Manhattan Beach Blvd Redondo Beach, CA 90278</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2027</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12.7%;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964</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2027</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12.5%;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772</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2028</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12.9%;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755</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2028</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12.6%;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848</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2028</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12.8%;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1,275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1,246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1,246</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18, 2034</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$1.91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58,064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1,376</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23,240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656</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8,503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330</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Impulse Space,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4,569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5,413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6,947</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976" w:type="dxa"/>
        <w:jc w:val="left"/>
        <w:tblInd w:w="0" w:type="dxa"/>
        <w:tblLayout w:type="fixed"/>
        <w:tblCellMar>
          <w:top w:w="0" w:type="dxa"/>
          <w:left w:w="0" w:type="dxa"/>
          <w:bottom w:w="0" w:type="dxa"/>
          <w:right w:w="0" w:type="dxa"/>
        </w:tblCellMar>
      </w:tblPr>
      <w:tblGrid>
        <w:gridCol w:w="901"/>
        <w:gridCol w:w="146"/>
        <w:gridCol w:w="1826"/>
        <w:gridCol w:w="146"/>
        <w:gridCol w:w="1021"/>
        <w:gridCol w:w="146"/>
        <w:gridCol w:w="971"/>
        <w:gridCol w:w="146"/>
        <w:gridCol w:w="736"/>
        <w:gridCol w:w="146"/>
        <w:gridCol w:w="811"/>
        <w:gridCol w:w="146"/>
        <w:gridCol w:w="976"/>
        <w:gridCol w:w="146"/>
        <w:gridCol w:w="1006"/>
        <w:gridCol w:w="146"/>
        <w:gridCol w:w="661"/>
        <w:gridCol w:w="146"/>
        <w:gridCol w:w="661"/>
        <w:gridCol w:w="901"/>
        <w:gridCol w:w="191"/>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Incontext Solutions,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Marketing, Media, and Entertainment</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 W Adams St, Suite 600</w:t>
              <w:br/>
              <w:t>Chicago, IL 60606</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2025</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11.8%; EOT 11.4%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476</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1,626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1,569</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28, 2028</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$220.815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2,219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Incontext Solutions,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476</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1,660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1,569</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Inshur,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315 W36</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Street</w:t>
              <w:br/>
              <w:t>New York, NY 10018</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2030</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11.0%;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24,529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24,529</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10, 2035</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$6.05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32,049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Inshur,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25,000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24,763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24,750</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Intelligent Brands,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901 Sam Rayburn Hwy.</w:t>
              <w:br/>
              <w:t>Melissa, TX 75454</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5, 2027</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$21.42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103,636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29, 2032</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$3.17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33,348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546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Intelligent Brands,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657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K2View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 Hayetsira Street, 2069202 Yokneam, IL</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2030</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11.5%;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14,713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14,713</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30, 2035</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Ordinary; Strike Price $1.38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252,050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K2View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15,000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14,863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14,864</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Kafene,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44 W 28</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Floor 17</w:t>
              <w:br/>
              <w:t>New York, NY 10001</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 2029</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13.0%; EOT 1.0%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12,500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12,625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12,638</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5, 2034</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$4.03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44,448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461</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Kafene,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12,500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12,683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13,099</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Knockaway,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Real Estate Technology</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309 East Paces Ferry Rd. NE #400</w:t>
              <w:br/>
              <w:t>Atlanta, GA 30305</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2028</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10.2%;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23,644</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20,800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20,016</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27, 2026</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30 Day Forward + 9.3% or Floor rate 13.8%;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43,603</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43,589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43,589</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(7)(9)(11)(20)(21)</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14, 2027</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4.0%;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1,600</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(15)(21)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24, 2029</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$85.27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880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(21)</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10, 2031</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$2.2</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16,350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29, 2033</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2,804,355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(21)</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6, 2033</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AA;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457,778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(11)(16)(20)(21)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16, 2034</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BB; Strike Price $0.0001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93,951,849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2,391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820</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27, 2033</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AA-1; Strike Price $0.089896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5,084,804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941" w:type="dxa"/>
        <w:jc w:val="left"/>
        <w:tblInd w:w="0" w:type="dxa"/>
        <w:tblLayout w:type="fixed"/>
        <w:tblCellMar>
          <w:top w:w="0" w:type="dxa"/>
          <w:left w:w="0" w:type="dxa"/>
          <w:bottom w:w="0" w:type="dxa"/>
          <w:right w:w="0" w:type="dxa"/>
        </w:tblCellMar>
      </w:tblPr>
      <w:tblGrid>
        <w:gridCol w:w="926"/>
        <w:gridCol w:w="146"/>
        <w:gridCol w:w="766"/>
        <w:gridCol w:w="146"/>
        <w:gridCol w:w="1021"/>
        <w:gridCol w:w="146"/>
        <w:gridCol w:w="971"/>
        <w:gridCol w:w="146"/>
        <w:gridCol w:w="736"/>
        <w:gridCol w:w="146"/>
        <w:gridCol w:w="811"/>
        <w:gridCol w:w="146"/>
        <w:gridCol w:w="976"/>
        <w:gridCol w:w="146"/>
        <w:gridCol w:w="1006"/>
        <w:gridCol w:w="146"/>
        <w:gridCol w:w="661"/>
        <w:gridCol w:w="146"/>
        <w:gridCol w:w="661"/>
        <w:gridCol w:w="901"/>
        <w:gridCol w:w="191"/>
      </w:tblGrid>
      <w:tr>
        <w:trPr/>
        <w:tc>
          <w:tcPr>
            <w:tcW w:w="9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30,458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AA</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2,956,224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BB</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97,866,510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863</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3,409,997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Knockaway, Inc.</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68,847</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72,105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66,893</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Kymeta Corporation</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12277 134</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Court NE Redmond, WA 98052</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12.5%;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7,658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7,834</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12.5%;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7,826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7,826</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 2034</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$0.11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3,995,407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470</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Kymeta Corporation</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15,800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15,815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16,130</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Lark Technologies, Inc.</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2570 W. El Camino Real, Suite 100</w:t>
              <w:br/>
              <w:t>Mountain View, CA 94040</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2030</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$1.757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76,231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30, 2031</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$1.757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79,325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22, 2032</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$2.49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97,970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32,416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Lark Technologies, Inc.</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993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46</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Lendflow, Inc.</w:t>
            </w:r>
          </w:p>
        </w:tc>
        <w:tc>
          <w:tcPr>
            <w:tcW w:w="146" w:type="dxa"/>
            <w:tcBorders/>
          </w:tcPr>
          <w:p>
            <w:pPr>
              <w:pStyle w:val="TableContents"/>
              <w:bidi w:val="0"/>
              <w:spacing w:before="0" w:after="283"/>
              <w:jc w:val="left"/>
              <w:rPr/>
            </w:pPr>
            <w:r>
              <w:rPr/>
              <w:t> </w:t>
            </w:r>
          </w:p>
        </w:tc>
        <w:tc>
          <w:tcPr>
            <w:tcW w:w="76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2222 Rio Grande St BLDG B STE 110, Austin, TX 78705</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2030</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12.0%; EOT 2.7%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3,760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3,692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3,692</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24, 2035</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158,099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145</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Lendflow, Inc.</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3,760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3,838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3,837</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Lightforce Orthodontics, Inc.</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3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61"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44 3</w:t>
            </w:r>
            <w:r>
              <w:rPr>
                <w:rFonts w:ascii="Times New Roman PS Std;serif" w:hAnsi="Times New Roman PS Std;serif"/>
                <w:b w:val="false"/>
                <w:i w:val="false"/>
                <w:caps w:val="false"/>
                <w:smallCaps w:val="false"/>
                <w:sz w:val="8"/>
              </w:rPr>
              <w:t>rd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Ave Burlington, MA 01803</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6, 2029</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+ 4.3% or Floor rate 11.8%;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28,200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27,972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28,190</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6, 2029</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+ 4.3% or Floor rate 11.8%;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4,700</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4,661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4,698</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6, 2034</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$18.0115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62,627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6, 2034</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$18.0115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10,438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Lightforce Orthodontics, Inc.</w:t>
            </w:r>
          </w:p>
        </w:tc>
        <w:tc>
          <w:tcPr>
            <w:tcW w:w="146" w:type="dxa"/>
            <w:tcBorders/>
          </w:tcPr>
          <w:p>
            <w:pPr>
              <w:pStyle w:val="TableContents"/>
              <w:bidi w:val="0"/>
              <w:spacing w:before="0" w:after="283"/>
              <w:jc w:val="left"/>
              <w:rPr/>
            </w:pPr>
            <w:r>
              <w:rPr/>
              <w:t> </w:t>
            </w:r>
          </w:p>
        </w:tc>
        <w:tc>
          <w:tcPr>
            <w:tcW w:w="76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32,900</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32,919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32,998</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Lucidworks, Inc.</w:t>
            </w:r>
          </w:p>
        </w:tc>
        <w:tc>
          <w:tcPr>
            <w:tcW w:w="146" w:type="dxa"/>
            <w:tcBorders/>
          </w:tcPr>
          <w:p>
            <w:pPr>
              <w:pStyle w:val="TableContents"/>
              <w:bidi w:val="0"/>
              <w:spacing w:before="0" w:after="283"/>
              <w:jc w:val="left"/>
              <w:rPr/>
            </w:pPr>
            <w:r>
              <w:rPr/>
              <w:t> </w:t>
            </w:r>
          </w:p>
        </w:tc>
        <w:tc>
          <w:tcPr>
            <w:tcW w:w="76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61"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9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340 Brannan St., </w:t>
              <w:br/>
              <w:t>Suite 400</w:t>
              <w:br/>
              <w:t>San Francisco, CA 94107</w:t>
            </w:r>
          </w:p>
        </w:tc>
        <w:tc>
          <w:tcPr>
            <w:tcW w:w="146"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27, 2026</w:t>
            </w:r>
          </w:p>
        </w:tc>
        <w:tc>
          <w:tcPr>
            <w:tcW w:w="146"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$0.77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619,435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806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504</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981" w:type="dxa"/>
        <w:jc w:val="left"/>
        <w:tblInd w:w="0" w:type="dxa"/>
        <w:tblLayout w:type="fixed"/>
        <w:tblCellMar>
          <w:top w:w="0" w:type="dxa"/>
          <w:left w:w="0" w:type="dxa"/>
          <w:bottom w:w="0" w:type="dxa"/>
          <w:right w:w="0" w:type="dxa"/>
        </w:tblCellMar>
      </w:tblPr>
      <w:tblGrid>
        <w:gridCol w:w="956"/>
        <w:gridCol w:w="146"/>
        <w:gridCol w:w="1576"/>
        <w:gridCol w:w="146"/>
        <w:gridCol w:w="1021"/>
        <w:gridCol w:w="146"/>
        <w:gridCol w:w="1171"/>
        <w:gridCol w:w="146"/>
        <w:gridCol w:w="766"/>
        <w:gridCol w:w="146"/>
        <w:gridCol w:w="811"/>
        <w:gridCol w:w="146"/>
        <w:gridCol w:w="946"/>
        <w:gridCol w:w="146"/>
        <w:gridCol w:w="1006"/>
        <w:gridCol w:w="146"/>
        <w:gridCol w:w="661"/>
        <w:gridCol w:w="146"/>
        <w:gridCol w:w="661"/>
        <w:gridCol w:w="901"/>
        <w:gridCol w:w="191"/>
      </w:tblGrid>
      <w:tr>
        <w:trPr/>
        <w:tc>
          <w:tcPr>
            <w:tcW w:w="9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Macrofab,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Supply Chain </w:t>
              <w:br/>
              <w:t>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2000 W Governors Cir., Ste F Houston, TX 77092</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2027</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+ 5.5% or Floor rate 13.3%; EOT 4.5%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19,495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20,279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18,906</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21, 2035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311,176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29,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C-1;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392,157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89</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11, 2036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161,006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21, 2035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C-1;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311,177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11, 2036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C-1;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161,007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14, 2035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C-1;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247,173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247,173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Macrofab,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19,495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21,644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19,218</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Madison Reed,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430 Shotweel St. San Francisco, CA 94110</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23,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$2.57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194,553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257</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18,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$0.99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43,158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86</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30,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$1.23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36,585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Madison Reed,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312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412</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Mainspring Energy,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3601 Haven Ave. Menlo Park, CA 94025</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9,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$1.15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140186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229</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20, 2030</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$1.15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81,294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133</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18,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$1.66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137,692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E-1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65,614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251</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Mainspring Energy,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1,353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824</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Maple Raptor Acquisition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Real Estate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40b Front Street S Thorold, ON L2V 1W9 Canada</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26, 2030</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CORRA 3 Month Term + 9.4%;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19,856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19,421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19,421</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(7)(9)(19)</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Maxwell Financial Labs,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Real Estate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518 17</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Suite 950 Denver, CO 80202</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+ 6.0% or Floor rate 10.0%; EOT 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15,700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15,418</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2,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6.0%;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192</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8,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$0.29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106,735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22, 2030</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$0.29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110,860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2031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$1.04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79,135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10,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$0.27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303,562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10,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$0.27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303,562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10,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$0.27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308,162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84,998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229,972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113</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32,839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91</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17,804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Maxwell Financial Labs,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15,187</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17,141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15,891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150" w:type="dxa"/>
        <w:jc w:val="left"/>
        <w:tblInd w:w="0" w:type="dxa"/>
        <w:tblLayout w:type="fixed"/>
        <w:tblCellMar>
          <w:top w:w="0" w:type="dxa"/>
          <w:left w:w="0" w:type="dxa"/>
          <w:bottom w:w="0" w:type="dxa"/>
          <w:right w:w="0" w:type="dxa"/>
        </w:tblCellMar>
      </w:tblPr>
      <w:tblGrid>
        <w:gridCol w:w="901"/>
        <w:gridCol w:w="146"/>
        <w:gridCol w:w="946"/>
        <w:gridCol w:w="146"/>
        <w:gridCol w:w="1021"/>
        <w:gridCol w:w="146"/>
        <w:gridCol w:w="1171"/>
        <w:gridCol w:w="146"/>
        <w:gridCol w:w="766"/>
        <w:gridCol w:w="146"/>
        <w:gridCol w:w="811"/>
        <w:gridCol w:w="146"/>
        <w:gridCol w:w="946"/>
        <w:gridCol w:w="146"/>
        <w:gridCol w:w="1006"/>
        <w:gridCol w:w="146"/>
        <w:gridCol w:w="661"/>
        <w:gridCol w:w="146"/>
        <w:gridCol w:w="661"/>
        <w:gridCol w:w="946"/>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Sales Training Holding Company</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Education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10004 Park Meadows Dr., Suite 214 Alone Tree, CO 80124</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+ 8.8% or Floor rate 12.0%; EOT 6.3%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5,175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5,547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3,817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+ 8.8% or Floor rate 12.0%; EOT 6.3%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1,944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1,346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18, 2031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$7.735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130,853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17,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$7.735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32,493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18,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$7.735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21,444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Medical Sales Training Holding Company</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7,676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5,163</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Mesa Financial, Inc.</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1905 15</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Street, #338 Boulder, CO 80306 Mesa Financial, Inc.</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28,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30 Day Forward + 10.3% or Floor rate 13.0%;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11,626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11,481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11,481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(7)(9)(11)(20)</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29,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$0.73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62422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11,626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11,509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11,507</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Mesa Financing I, LLC</w:t>
            </w:r>
          </w:p>
        </w:tc>
        <w:tc>
          <w:tcPr>
            <w:tcW w:w="146"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3018 Sunbridge Dr BLDG 9 Austin, TX 78741 Mesa Financing I, LLC</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7,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+ 10.8% or Floor rate 12.8%;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2,372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2,345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2,345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(7)(9)(11)(20)</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7, 2035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22519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2,372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2,353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2,353</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Metabolon, Inc.</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Other Healthcare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617 Davis Drive, Suite 100 Morrisville, NC 27560</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+ 2.5% or Floor rate 10.0%+PIK Fixed Interest Rate 3.0%; EOT 4.8%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43,793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43,323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43,628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(7)(14)</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+ 2.5% or Floor rate 10.0%+PIK Fixed Interest Rate 3.0%; EOT 4.8%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5,114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5,079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5,033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(7)(14)</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+ 2.5% or Floor rate 10.0%+PIK Fixed Interest Rate 3.0%; EOT 4.8%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2,537</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2,484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(7)(14)</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28,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3; Strike Price $0.65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2288461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28,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3; Strike Price $0.65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384615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28,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3; Strike Price $0.65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192308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Metabolon, Inc.</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51,444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51,606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51,519</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Moxe Health Corporation</w:t>
            </w:r>
          </w:p>
        </w:tc>
        <w:tc>
          <w:tcPr>
            <w:tcW w:w="146"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228 North Henry St., Ste. #3003 Madison, WI 53703</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+ 5.5% or Floor rate 13.0%; EOT 4.8%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12,500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12,630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12,575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29, 2033</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$3.62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155,438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Moxe Health Corporation</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12,500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12,765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12,621</w:t>
            </w:r>
          </w:p>
        </w:tc>
        <w:tc>
          <w:tcPr>
            <w:tcW w:w="946"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405" w:type="dxa"/>
        <w:jc w:val="left"/>
        <w:tblInd w:w="0" w:type="dxa"/>
        <w:tblLayout w:type="fixed"/>
        <w:tblCellMar>
          <w:top w:w="0" w:type="dxa"/>
          <w:left w:w="0" w:type="dxa"/>
          <w:bottom w:w="0" w:type="dxa"/>
          <w:right w:w="0" w:type="dxa"/>
        </w:tblCellMar>
      </w:tblPr>
      <w:tblGrid>
        <w:gridCol w:w="901"/>
        <w:gridCol w:w="146"/>
        <w:gridCol w:w="1186"/>
        <w:gridCol w:w="146"/>
        <w:gridCol w:w="1021"/>
        <w:gridCol w:w="146"/>
        <w:gridCol w:w="1171"/>
        <w:gridCol w:w="146"/>
        <w:gridCol w:w="781"/>
        <w:gridCol w:w="146"/>
        <w:gridCol w:w="811"/>
        <w:gridCol w:w="146"/>
        <w:gridCol w:w="946"/>
        <w:gridCol w:w="146"/>
        <w:gridCol w:w="1006"/>
        <w:gridCol w:w="146"/>
        <w:gridCol w:w="661"/>
        <w:gridCol w:w="146"/>
        <w:gridCol w:w="661"/>
        <w:gridCol w:w="946"/>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Neurolens, Inc.</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1234 Lakeshore Dr., Ste. 200 Coppell, TX 75019</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2028</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+ 3.5% or Floor rate 11.5%;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20,070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20,685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2028</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+ 3.5% or Floor rate 11.5%;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14,911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15,037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Neurolens, Inc.</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34,981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35,722</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Neuros Medical, Inc.</w:t>
            </w:r>
          </w:p>
        </w:tc>
        <w:tc>
          <w:tcPr>
            <w:tcW w:w="146" w:type="dxa"/>
            <w:tcBorders/>
          </w:tcPr>
          <w:p>
            <w:pPr>
              <w:pStyle w:val="TableContents"/>
              <w:bidi w:val="0"/>
              <w:spacing w:before="0" w:after="283"/>
              <w:jc w:val="left"/>
              <w:rPr/>
            </w:pPr>
            <w:r>
              <w:rPr/>
              <w:t> </w:t>
            </w:r>
          </w:p>
        </w:tc>
        <w:tc>
          <w:tcPr>
            <w:tcW w:w="118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26800 Aliso Viego Parkway, Ste. 250 Aliso Vieo, CA 926656</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2027</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+ 6.0% or Floor rate 14.3%; EOT 4.5%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6,090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6,095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2027</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+ 6.0% or Floor rate 14.3%; EOT 4.5%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2,977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10, 2033</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$0.38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798,085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10, 2033</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$0.3759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399,042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Neuros Medical, Inc.</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9,203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9,182</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Nexii Building Solutions, Inc.</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Construction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595 Burrard St., PO Box 49369 Vancouver, BC, V7X 1L4, CANADA</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2027</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10.0%;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(9)(21)</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6,126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3,049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(9)(16)(21)</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1,370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3,140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(9)(16)(21)</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Nexii Building Solutions, Inc.</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365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4,784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3,898</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NextCar Holding Company, Inc.</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Transportation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225 Santa Monica Blvd., 12</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Santa Monica, CA 90401</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2,486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2,274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2,379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575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2,843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2,974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3,411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3,569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863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2,843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2,974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2,843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2,974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5,685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5,948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1,439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2025</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9.0%;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2,843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2,974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2,688,971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14, 2026</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Strike Price $64.42</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6,211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(12)</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23, 2027</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Strike Price $64.42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(12)</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16, 2027</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Strike Price $64.42</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(12)</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29, 2027</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Stock; Strike Price $0.2212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1,224,752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(12)(16)</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18, 2027</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Strike Price $64.42</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5,336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(12)</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NextCar Holding Company, Inc.</w:t>
            </w:r>
          </w:p>
        </w:tc>
        <w:tc>
          <w:tcPr>
            <w:tcW w:w="146" w:type="dxa"/>
            <w:tcBorders/>
          </w:tcPr>
          <w:p>
            <w:pPr>
              <w:pStyle w:val="TableContents"/>
              <w:bidi w:val="0"/>
              <w:spacing w:before="0" w:after="283"/>
              <w:jc w:val="left"/>
              <w:rPr/>
            </w:pPr>
            <w:r>
              <w:rPr/>
              <w:t> </w:t>
            </w:r>
          </w:p>
        </w:tc>
        <w:tc>
          <w:tcPr>
            <w:tcW w:w="11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24,966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26,496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6,316</w:t>
            </w:r>
          </w:p>
        </w:tc>
        <w:tc>
          <w:tcPr>
            <w:tcW w:w="946"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580" w:type="dxa"/>
        <w:jc w:val="left"/>
        <w:tblInd w:w="0" w:type="dxa"/>
        <w:tblLayout w:type="fixed"/>
        <w:tblCellMar>
          <w:top w:w="0" w:type="dxa"/>
          <w:left w:w="0" w:type="dxa"/>
          <w:bottom w:w="0" w:type="dxa"/>
          <w:right w:w="0" w:type="dxa"/>
        </w:tblCellMar>
      </w:tblPr>
      <w:tblGrid>
        <w:gridCol w:w="956"/>
        <w:gridCol w:w="146"/>
        <w:gridCol w:w="1576"/>
        <w:gridCol w:w="146"/>
        <w:gridCol w:w="1021"/>
        <w:gridCol w:w="146"/>
        <w:gridCol w:w="1021"/>
        <w:gridCol w:w="146"/>
        <w:gridCol w:w="766"/>
        <w:gridCol w:w="146"/>
        <w:gridCol w:w="811"/>
        <w:gridCol w:w="146"/>
        <w:gridCol w:w="946"/>
        <w:gridCol w:w="146"/>
        <w:gridCol w:w="1006"/>
        <w:gridCol w:w="146"/>
        <w:gridCol w:w="601"/>
        <w:gridCol w:w="146"/>
        <w:gridCol w:w="616"/>
        <w:gridCol w:w="946"/>
      </w:tblGrid>
      <w:tr>
        <w:trPr/>
        <w:tc>
          <w:tcPr>
            <w:tcW w:w="9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Nomad Health,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Human Resource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335 Madison Avenue, Suite 5A New York, NY 10017</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+ 5.5% or Floor rate 9.3%;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33,056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34,088</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27,281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(7)(13)(14)</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445</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37,920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Nomad Health,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33,556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35,088</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27,726</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Nucleus RadioPharma,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Supply Chain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130 Harbour Place Drive, Suite 340 Davidson, NC 28036</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11.8%;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307</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12.3%;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1,448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1,454</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1,465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4,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$1.99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43,636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Nucleus RadioPharma,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1,747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1,830</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1,805</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Ogee,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 Lawson Lane, Ste. 130 Burlington, VT 05401</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12.0%; EOT 3.8%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4,786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4,784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2027</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12.0%; EOT 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4,764</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4,795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2027</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+ 5.8% or Floor rate 12.0%; EOT 3.8%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4,686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4,697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14, 2033</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A-3; Strike Price $0.68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243,668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54</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14, 2033</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A-3; Strike Price $0.68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243,668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A-3; Strike Price $0.6751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243,668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104</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Ogee,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14,100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14,443</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16,556</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Okami Medical,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 Argonaut, Suite 100 Aliso Viejo, CA 92656</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2030</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+ 3.8% or Floor rate 10.5%; EOT 2.0%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4,310</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4,310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24, 2035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F-1; Strike Price $2.855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38529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Okami Medical,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4,400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4,356</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4,377</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Openly Holdings Corp.</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131 Dartmouth St, 3</w:t>
            </w:r>
            <w:r>
              <w:rPr>
                <w:rFonts w:ascii="Times New Roman PS Std;serif" w:hAnsi="Times New Roman PS Std;serif"/>
                <w:b w:val="false"/>
                <w:i w:val="false"/>
                <w:caps w:val="false"/>
                <w:smallCaps w:val="false"/>
                <w:sz w:val="8"/>
              </w:rPr>
              <w:t>rd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Boston, MA 02116</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44,725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543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Orchard Technologies,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Real Estate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31 West 27</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4</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New York, NY 10001</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+ 10.0% or Floor rate 17.0%;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28,540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29,562</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24,805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12,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1; Strike Price $0.01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228,000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12,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1;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228,000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2938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97060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971</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SAFE Note</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10900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Orchard Technologies,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28,540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30,694</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25,104</w:t>
            </w:r>
          </w:p>
        </w:tc>
        <w:tc>
          <w:tcPr>
            <w:tcW w:w="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8"/>
              </w:rPr>
            </w:pPr>
            <w:r>
              <w:rPr>
                <w:rFonts w:ascii="Times New Roman PS Std;serif" w:hAnsi="Times New Roman PS Std;serif"/>
                <w:b w:val="false"/>
                <w:i w:val="false"/>
                <w:caps w:val="false"/>
                <w:smallCaps w:val="false"/>
                <w:sz w:val="8"/>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385" w:type="dxa"/>
        <w:jc w:val="left"/>
        <w:tblInd w:w="0" w:type="dxa"/>
        <w:tblLayout w:type="fixed"/>
        <w:tblCellMar>
          <w:top w:w="0" w:type="dxa"/>
          <w:left w:w="0" w:type="dxa"/>
          <w:bottom w:w="0" w:type="dxa"/>
          <w:right w:w="0" w:type="dxa"/>
        </w:tblCellMar>
      </w:tblPr>
      <w:tblGrid>
        <w:gridCol w:w="1091"/>
        <w:gridCol w:w="146"/>
        <w:gridCol w:w="1156"/>
        <w:gridCol w:w="146"/>
        <w:gridCol w:w="1021"/>
        <w:gridCol w:w="146"/>
        <w:gridCol w:w="1111"/>
        <w:gridCol w:w="146"/>
        <w:gridCol w:w="766"/>
        <w:gridCol w:w="146"/>
        <w:gridCol w:w="811"/>
        <w:gridCol w:w="146"/>
        <w:gridCol w:w="946"/>
        <w:gridCol w:w="146"/>
        <w:gridCol w:w="1006"/>
        <w:gridCol w:w="146"/>
        <w:gridCol w:w="601"/>
        <w:gridCol w:w="146"/>
        <w:gridCol w:w="616"/>
        <w:gridCol w:w="946"/>
      </w:tblGrid>
      <w:tr>
        <w:trPr/>
        <w:tc>
          <w:tcPr>
            <w:tcW w:w="10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1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Parafin,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301 Howard St. Suite 1500 San Francisco, CA 94105</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+ 10.8% or Floor rate 12.8%;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21,758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21,528</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21,528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(7)(9)(11)(20)</w:t>
            </w:r>
          </w:p>
        </w:tc>
      </w:tr>
      <w:tr>
        <w:trPr/>
        <w:tc>
          <w:tcPr>
            <w:tcW w:w="10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25, 2027</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+ 10.8% or Floor rate 13.8%;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15,829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15,671</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15,671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(7)(9)(11)(20)</w:t>
            </w:r>
          </w:p>
        </w:tc>
      </w:tr>
      <w:tr>
        <w:trPr/>
        <w:tc>
          <w:tcPr>
            <w:tcW w:w="10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16,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$7.09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24616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118</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w:t>
            </w:r>
          </w:p>
        </w:tc>
      </w:tr>
      <w:tr>
        <w:trPr/>
        <w:tc>
          <w:tcPr>
            <w:tcW w:w="10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25, 2034</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$7.09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24641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108</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w:t>
            </w:r>
          </w:p>
        </w:tc>
      </w:tr>
      <w:tr>
        <w:trPr/>
        <w:tc>
          <w:tcPr>
            <w:tcW w:w="10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23,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$11.14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w:t>
            </w:r>
          </w:p>
        </w:tc>
      </w:tr>
      <w:tr>
        <w:trPr/>
        <w:tc>
          <w:tcPr>
            <w:tcW w:w="1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Parafin,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37,587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37,474</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37,846</w:t>
            </w:r>
          </w:p>
        </w:tc>
        <w:tc>
          <w:tcPr>
            <w:tcW w:w="946" w:type="dxa"/>
            <w:tcBorders/>
            <w:shd w:fill="CCEEFF" w:val="clear"/>
            <w:vAlign w:val="bottom"/>
          </w:tcPr>
          <w:p>
            <w:pPr>
              <w:pStyle w:val="TableContents"/>
              <w:bidi w:val="0"/>
              <w:spacing w:before="0" w:after="283"/>
              <w:jc w:val="left"/>
              <w:rPr/>
            </w:pPr>
            <w:r>
              <w:rPr/>
              <w:t> </w:t>
            </w:r>
          </w:p>
        </w:tc>
      </w:tr>
      <w:tr>
        <w:trPr/>
        <w:tc>
          <w:tcPr>
            <w:tcW w:w="1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PatientFi,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PO Box 50903 Irvine, CA 92619</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+ 3.5% or Floor rate 10.5%; EOT 2.5%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9,203</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9,279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10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14, 2035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$3.1018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100,586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139</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w:t>
            </w:r>
          </w:p>
        </w:tc>
      </w:tr>
      <w:tr>
        <w:trPr/>
        <w:tc>
          <w:tcPr>
            <w:tcW w:w="10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PatientFi, Inc.</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9,400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9,342</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9,439</w:t>
            </w:r>
          </w:p>
        </w:tc>
        <w:tc>
          <w:tcPr>
            <w:tcW w:w="946" w:type="dxa"/>
            <w:tcBorders/>
            <w:vAlign w:val="bottom"/>
          </w:tcPr>
          <w:p>
            <w:pPr>
              <w:pStyle w:val="TableContents"/>
              <w:bidi w:val="0"/>
              <w:spacing w:before="0" w:after="283"/>
              <w:jc w:val="left"/>
              <w:rPr/>
            </w:pPr>
            <w:r>
              <w:rPr/>
              <w:t> </w:t>
            </w:r>
          </w:p>
        </w:tc>
      </w:tr>
      <w:tr>
        <w:trPr/>
        <w:tc>
          <w:tcPr>
            <w:tcW w:w="10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9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Paytient Technologies, Inc.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3601 Endeavor Ave, Suite 109 Columbia, MO 65201</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2030</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+ 3.8% or Floor rate 10.8%;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11,750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11,466</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11,466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10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27, 2035</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45,141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62</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(18)</w:t>
            </w:r>
          </w:p>
        </w:tc>
      </w:tr>
      <w:tr>
        <w:trPr/>
        <w:tc>
          <w:tcPr>
            <w:tcW w:w="1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Paytient Technologies,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11,750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11,528</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11,527</w:t>
            </w:r>
          </w:p>
        </w:tc>
        <w:tc>
          <w:tcPr>
            <w:tcW w:w="946" w:type="dxa"/>
            <w:tcBorders/>
            <w:shd w:fill="CCEEFF" w:val="clear"/>
            <w:vAlign w:val="bottom"/>
          </w:tcPr>
          <w:p>
            <w:pPr>
              <w:pStyle w:val="TableContents"/>
              <w:bidi w:val="0"/>
              <w:spacing w:before="0" w:after="283"/>
              <w:jc w:val="left"/>
              <w:rPr/>
            </w:pPr>
            <w:r>
              <w:rPr/>
              <w:t> </w:t>
            </w:r>
          </w:p>
        </w:tc>
      </w:tr>
      <w:tr>
        <w:trPr/>
        <w:tc>
          <w:tcPr>
            <w:tcW w:w="1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PebblePost, Inc.</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Marketing, Media, and Entertainment</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400 Lafayette St., 2</w:t>
            </w:r>
            <w:r>
              <w:rPr>
                <w:rFonts w:ascii="Times New Roman PS Std;serif" w:hAnsi="Times New Roman PS Std;serif"/>
                <w:b w:val="false"/>
                <w:i w:val="false"/>
                <w:caps w:val="false"/>
                <w:smallCaps w:val="false"/>
                <w:sz w:val="8"/>
              </w:rPr>
              <w:t>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New York, NY 10003</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7, 2031</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$0.517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657,343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68</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600</w:t>
            </w:r>
          </w:p>
        </w:tc>
        <w:tc>
          <w:tcPr>
            <w:tcW w:w="946" w:type="dxa"/>
            <w:tcBorders/>
            <w:vAlign w:val="bottom"/>
          </w:tcPr>
          <w:p>
            <w:pPr>
              <w:pStyle w:val="TableContents"/>
              <w:bidi w:val="0"/>
              <w:spacing w:before="0" w:after="283"/>
              <w:jc w:val="left"/>
              <w:rPr/>
            </w:pPr>
            <w:r>
              <w:rPr/>
              <w:t> </w:t>
            </w:r>
          </w:p>
        </w:tc>
      </w:tr>
      <w:tr>
        <w:trPr/>
        <w:tc>
          <w:tcPr>
            <w:tcW w:w="10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09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Pendulum Therapeutics, Inc.</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Biotechnology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933 20</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San Francisco, CA 94107</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+ 6.8% or Floor rate 10.0%;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4,292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4,170</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4,180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10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+ 6.8% or Floor rate 10.0%;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4,581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4,436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4,459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10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+ 6.8% or Floor rate 10.0%;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4,722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4,567</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4,595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10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+ 6.8% or Floor rate 10.0%;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4,824</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4,861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10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+ 6.8% or Floor rate 10.0%;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4,824</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4,861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10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+ 6.8% or Floor rate 10.0%;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1,405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1,356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1,318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10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9,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$1.9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55,263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w:t>
            </w:r>
          </w:p>
        </w:tc>
        <w:tc>
          <w:tcPr>
            <w:tcW w:w="146"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0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15, 2030</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$1.9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36,842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835" w:type="dxa"/>
        <w:jc w:val="left"/>
        <w:tblInd w:w="0" w:type="dxa"/>
        <w:tblLayout w:type="fixed"/>
        <w:tblCellMar>
          <w:top w:w="0" w:type="dxa"/>
          <w:left w:w="0" w:type="dxa"/>
          <w:bottom w:w="0" w:type="dxa"/>
          <w:right w:w="0" w:type="dxa"/>
        </w:tblCellMar>
      </w:tblPr>
      <w:tblGrid>
        <w:gridCol w:w="956"/>
        <w:gridCol w:w="146"/>
        <w:gridCol w:w="1576"/>
        <w:gridCol w:w="146"/>
        <w:gridCol w:w="1021"/>
        <w:gridCol w:w="146"/>
        <w:gridCol w:w="1111"/>
        <w:gridCol w:w="146"/>
        <w:gridCol w:w="826"/>
        <w:gridCol w:w="146"/>
        <w:gridCol w:w="811"/>
        <w:gridCol w:w="146"/>
        <w:gridCol w:w="946"/>
        <w:gridCol w:w="146"/>
        <w:gridCol w:w="1006"/>
        <w:gridCol w:w="146"/>
        <w:gridCol w:w="661"/>
        <w:gridCol w:w="146"/>
        <w:gridCol w:w="661"/>
        <w:gridCol w:w="946"/>
      </w:tblGrid>
      <w:tr>
        <w:trPr/>
        <w:tc>
          <w:tcPr>
            <w:tcW w:w="9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31, 2031</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$3.2427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322,251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5, 2034</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$1.03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1,143,690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1,014</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30, 2035</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914,565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1,880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1,908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Pendulum Therapeutics,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26,842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27,425</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Portofino Labs,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1475 Veterans Blvd.</w:t>
              <w:br/>
              <w:t>Redwood City, CA 94063</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31, 2030</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$1.53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99,148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2031</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$1.46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39,912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256,291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Portofino Labs,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759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556</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Project Frog,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Construction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99 Green St., 2</w:t>
            </w:r>
            <w:r>
              <w:rPr>
                <w:rFonts w:ascii="Times New Roman PS Std;serif" w:hAnsi="Times New Roman PS Std;serif"/>
                <w:b w:val="false"/>
                <w:i w:val="false"/>
                <w:caps w:val="false"/>
                <w:smallCaps w:val="false"/>
                <w:sz w:val="8"/>
              </w:rPr>
              <w:t>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w:t>
              <w:br/>
              <w:t>San Francisco, CA 94111</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28, 2027</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AA-1; Strike Price $0.19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211,649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28, 2027</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$0.19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180,340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(21)</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31, 2031</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CC;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250,000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4,383,497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BB</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3,401,678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1,333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6,633,486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1,684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(21)</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CC</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3,129,887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1,253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Project Frog,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4,659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Quip NYC,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45 Main St., </w:t>
              <w:br/>
              <w:t>Suite 630 </w:t>
              <w:br/>
              <w:t>Brooklyn, NY 11201</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2026</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+ 8.0% or Floor rate 11.3%;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4,861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5,359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5,366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2026</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+ 8.0% or Floor rate 11.3%;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9, 2031</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$48.46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10,833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3,321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Quip NYC,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5,555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6,828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6,135</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Rarefied Atmosphere,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Marketing, Media, and Entertainment</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2043 S Lamar Blvd Austin, </w:t>
              <w:br/>
              <w:t>TX 78704</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2030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+ 4.3% or Floor rate 11.8%; EOT 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49,553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48,558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48,558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6, 2037</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$7.35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207,076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679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(18)</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Rarefied Atmosphere,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49,553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49,237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49,352</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Realty Mogul, Co.</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10573 W Pico Blvd.</w:t>
              <w:br/>
              <w:t>Los Angeles, CA 90064</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18, 2027</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$0.9529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954,979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1,161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5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Renalogic Holdings,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Other Healthcare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5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223 W Jackson Blvd, Suite 604 Chicago, IL 60606</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30, 2030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+ 5.8%;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63,500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62,231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62,231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885" w:type="dxa"/>
        <w:jc w:val="left"/>
        <w:tblInd w:w="0" w:type="dxa"/>
        <w:tblLayout w:type="fixed"/>
        <w:tblCellMar>
          <w:top w:w="0" w:type="dxa"/>
          <w:left w:w="0" w:type="dxa"/>
          <w:bottom w:w="0" w:type="dxa"/>
          <w:right w:w="0" w:type="dxa"/>
        </w:tblCellMar>
      </w:tblPr>
      <w:tblGrid>
        <w:gridCol w:w="901"/>
        <w:gridCol w:w="146"/>
        <w:gridCol w:w="1576"/>
        <w:gridCol w:w="146"/>
        <w:gridCol w:w="1021"/>
        <w:gridCol w:w="146"/>
        <w:gridCol w:w="1171"/>
        <w:gridCol w:w="146"/>
        <w:gridCol w:w="871"/>
        <w:gridCol w:w="146"/>
        <w:gridCol w:w="811"/>
        <w:gridCol w:w="146"/>
        <w:gridCol w:w="946"/>
        <w:gridCol w:w="146"/>
        <w:gridCol w:w="1006"/>
        <w:gridCol w:w="146"/>
        <w:gridCol w:w="661"/>
        <w:gridCol w:w="146"/>
        <w:gridCol w:w="661"/>
        <w:gridCol w:w="946"/>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Reciprocity,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755 Sansome St., 6</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4"/>
              </w:rPr>
              <w:t xml:space="preserve">Floor </w:t>
              <w:br/>
              <w:t>San Francisco, CA 94111</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25, 2030</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$4.17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114,678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29, 2031</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$4.17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57,195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Reciprocity,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Restor3d,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4001 E. NC 54 Highway, Suite 3160 Durham, NC 27709</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4, 2028</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+ 4.8% or Floor rate 12.3%; EOT 3.3%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11,985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11,961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12,064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4, 2034</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 Strike Price $5.01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95,688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Restor3d,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11,985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12,012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12,171</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Rinse,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1000 Brannon St. Ste 207</w:t>
              <w:br/>
              <w:t>San Francisco, CA 94103</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2027</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+ 8.0% or Floor rate 11.3%; EOT 3.8%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3,194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3,325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3,350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2028</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+ 8.0% or Floor rate 11.3%; EOT 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3,854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3,883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3,952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290242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10, 2032</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$1.13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278,761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Rinse,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7,048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7,826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8,071</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Rocket Lab USA,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3881 McGowen St. Long Beach, CA 90808</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2029</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14.8%; EOT 1.0%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37,653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37,251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39,083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(8)(9)(13)</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2030</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12.3%; EOT 1.0%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19,625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19,586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19,778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(8)(9)</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Rocket Lab USA,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57,278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56,837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58,861</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RTS Holding, Inc.</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115 Broadway, 14</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4"/>
              </w:rPr>
              <w:t>Floor</w:t>
              <w:br/>
              <w:t>New York, NY 10006</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10, 2031</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C; Strike Price $205.28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2,314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10, 2032</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$196.5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917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19, 2034</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D-1; Strike Price $203.4728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2,876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E-1D</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2,035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E-1D1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1,966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E-1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2,054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RTS Holding, Inc.</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1,647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1,292</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RXAnte, Inc.</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511 Congress St., Suite 803 Portland, ME 04101</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2027</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+ 4.48% or Floor rate 9.98%+PIK Fixed Interest Rate 1.5%; EOT 3.5%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8,580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8,711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8,764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2027</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+ 4.48% or Floor rate 9.98%+PIK Fixed Interest Rate 1.5%; EOT 3.5%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2,853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2,876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2,956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2027</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+ 4.48% or Floor rate 9.98%+PIK Fixed Interest Rate 1.5%; EOT 3.5%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2,842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2,903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550" w:type="dxa"/>
        <w:jc w:val="left"/>
        <w:tblInd w:w="0" w:type="dxa"/>
        <w:tblLayout w:type="fixed"/>
        <w:tblCellMar>
          <w:top w:w="0" w:type="dxa"/>
          <w:left w:w="0" w:type="dxa"/>
          <w:bottom w:w="0" w:type="dxa"/>
          <w:right w:w="0" w:type="dxa"/>
        </w:tblCellMar>
      </w:tblPr>
      <w:tblGrid>
        <w:gridCol w:w="1301"/>
        <w:gridCol w:w="146"/>
        <w:gridCol w:w="1006"/>
        <w:gridCol w:w="146"/>
        <w:gridCol w:w="1021"/>
        <w:gridCol w:w="146"/>
        <w:gridCol w:w="1111"/>
        <w:gridCol w:w="146"/>
        <w:gridCol w:w="766"/>
        <w:gridCol w:w="146"/>
        <w:gridCol w:w="811"/>
        <w:gridCol w:w="146"/>
        <w:gridCol w:w="946"/>
        <w:gridCol w:w="146"/>
        <w:gridCol w:w="1006"/>
        <w:gridCol w:w="146"/>
        <w:gridCol w:w="661"/>
        <w:gridCol w:w="146"/>
        <w:gridCol w:w="661"/>
        <w:gridCol w:w="946"/>
      </w:tblGrid>
      <w:tr>
        <w:trPr/>
        <w:tc>
          <w:tcPr>
            <w:tcW w:w="1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2027</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+ 4.48% or Floor rate 9.98%+PIK Fixed Interest Rate 1.5%; EOT 3.5%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2,788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2,802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2,862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(7)(8)(13)(14)(18)</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21,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A; Strike Price $10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16,517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21, 2032</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A; Strike Price $10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5,518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21, 2032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A; Strike Price $10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5,506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(8)(16)(18)</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RXAnte, Inc.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17,045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17,382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17,684</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SBG Labs, Inc.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Industrials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1288 Hammerwood Ave. Sunnyvale, CA 94089</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21,730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9,498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12,205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4,489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6,332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4,117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2,617</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126,641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73,873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SBG Labs, Inc.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217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226</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SeaOn Global, LLC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Green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2055 E Warner Rd. Tempe, AZ 85284</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9.3%; EOT 11.0%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1,921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2,614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2,536</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9.3%; EOT 11.0%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1,071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1,396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1,358</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Seaon Environmental, LLC</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2,992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4,010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3,894</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Senior Credit Corp 2022 LLC</w:t>
            </w:r>
          </w:p>
        </w:tc>
        <w:tc>
          <w:tcPr>
            <w:tcW w:w="146" w:type="dxa"/>
            <w:tcBorders/>
          </w:tcPr>
          <w:p>
            <w:pPr>
              <w:pStyle w:val="TableContents"/>
              <w:bidi w:val="0"/>
              <w:spacing w:before="0" w:after="283"/>
              <w:jc w:val="left"/>
              <w:rPr/>
            </w:pPr>
            <w:r>
              <w:rPr/>
              <w:t> </w:t>
            </w:r>
          </w:p>
        </w:tc>
        <w:tc>
          <w:tcPr>
            <w:tcW w:w="100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Multi-Sector Holdings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 N 1</w:t>
            </w:r>
            <w:r>
              <w:rPr>
                <w:rFonts w:ascii="Times New Roman PS Std;serif" w:hAnsi="Times New Roman PS Std;serif"/>
                <w:b w:val="false"/>
                <w:i w:val="false"/>
                <w:caps w:val="false"/>
                <w:smallCaps w:val="false"/>
                <w:sz w:val="8"/>
              </w:rPr>
              <w:t>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Street Suite 302 Phoenix, AZ 85004</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5, 2028</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8.5%;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12,885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12,885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12,885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(9)(21)</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5,522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5,768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(6)(9)(16)(21)</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Senior Credit Corp 2022 LLC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12,885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18,407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18,653</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ServiceTrade, Inc.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5003 S Miami Blvd Ste 500 Durham, NC 27703</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15,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+ 5.5%;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23,135</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23,619</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15,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+ 5.8%;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1,880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1,847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1,847</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15, 2029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+ 5.8%;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1,880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1,846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1,846</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ServiceTrade, Inc.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27,260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26,828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27,312</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Shoulder Innovations, Inc.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1535 Steele Ave SW, Suite B Grand Rapids, MI 49507</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2028</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+ 3.5% or Floor rate 11.5%;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11,250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11,293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11,458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7, 2033</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D; Strike Price $0.54</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623,615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Shoulder Innovations, Inc.</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11,250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11,413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11,505</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3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Silk Technologies, Inc.</w:t>
            </w:r>
          </w:p>
        </w:tc>
        <w:tc>
          <w:tcPr>
            <w:tcW w:w="146" w:type="dxa"/>
            <w:tcBorders/>
          </w:tcPr>
          <w:p>
            <w:pPr>
              <w:pStyle w:val="TableContents"/>
              <w:bidi w:val="0"/>
              <w:spacing w:before="0" w:after="283"/>
              <w:jc w:val="left"/>
              <w:rPr/>
            </w:pPr>
            <w:r>
              <w:rPr/>
              <w:t> </w:t>
            </w:r>
          </w:p>
        </w:tc>
        <w:tc>
          <w:tcPr>
            <w:tcW w:w="100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75 2</w:t>
            </w:r>
            <w:r>
              <w:rPr>
                <w:rFonts w:ascii="Times New Roman PS Std;serif" w:hAnsi="Times New Roman PS Std;serif"/>
                <w:b w:val="false"/>
                <w:i w:val="false"/>
                <w:caps w:val="false"/>
                <w:smallCaps w:val="false"/>
                <w:sz w:val="8"/>
              </w:rPr>
              <w:t>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 xml:space="preserve">Ave, 620, Needham, </w:t>
              <w:br/>
              <w:t>MA 02494</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2029</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11.3%; EOT 1.5%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16,200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15,862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15,863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r>
      <w:tr>
        <w:trPr/>
        <w:tc>
          <w:tcPr>
            <w:tcW w:w="13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4, 2034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$1.98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204,760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433</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r>
      <w:tr>
        <w:trPr/>
        <w:tc>
          <w:tcPr>
            <w:tcW w:w="13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Silk Technologies, Inc.</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16,200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16,295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16,141</w:t>
            </w:r>
          </w:p>
        </w:tc>
        <w:tc>
          <w:tcPr>
            <w:tcW w:w="946"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2475" w:type="dxa"/>
        <w:jc w:val="left"/>
        <w:tblInd w:w="0" w:type="dxa"/>
        <w:tblLayout w:type="fixed"/>
        <w:tblCellMar>
          <w:top w:w="0" w:type="dxa"/>
          <w:left w:w="0" w:type="dxa"/>
          <w:bottom w:w="0" w:type="dxa"/>
          <w:right w:w="0" w:type="dxa"/>
        </w:tblCellMar>
      </w:tblPr>
      <w:tblGrid>
        <w:gridCol w:w="986"/>
        <w:gridCol w:w="146"/>
        <w:gridCol w:w="1826"/>
        <w:gridCol w:w="146"/>
        <w:gridCol w:w="1021"/>
        <w:gridCol w:w="146"/>
        <w:gridCol w:w="1171"/>
        <w:gridCol w:w="146"/>
        <w:gridCol w:w="1126"/>
        <w:gridCol w:w="146"/>
        <w:gridCol w:w="811"/>
        <w:gridCol w:w="146"/>
        <w:gridCol w:w="946"/>
        <w:gridCol w:w="146"/>
        <w:gridCol w:w="1006"/>
        <w:gridCol w:w="146"/>
        <w:gridCol w:w="661"/>
        <w:gridCol w:w="146"/>
        <w:gridCol w:w="661"/>
        <w:gridCol w:w="946"/>
      </w:tblGrid>
      <w:tr>
        <w:trPr/>
        <w:tc>
          <w:tcPr>
            <w:tcW w:w="9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SI Tickets,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15 Hudson Yards, Ste. 72D </w:t>
              <w:br/>
              <w:t>New York, NY 10001</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11, 2032</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$2.52</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53,029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Slingshot Aerospace,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5475 Tech Center Dr. Suite 225 Colorado Springs, CO 80919</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 2029</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+ 5.5% or Floor rate 14.0%; EOT 3.0%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23,700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23,400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23,722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30, 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10.0%;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544</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12, 2034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$0.46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328,416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400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Slingshot Aerospace,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24,200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24,300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24,665</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Slope Tech, Inc.</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5-7 Freelon St. </w:t>
              <w:br/>
              <w:t>San Francisco, CA 94107</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27, 2026</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1 Month Term + 11.8% or Floor rate 11.8%;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3,862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3,820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3,820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(7)(9)(11)(20)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14, 2032</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$0.88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90,971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30, 2033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$0.88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21,303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(9)(11)(20)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64,654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(9)(11)(16)(20)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Slope Tech,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3,862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4,541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4,823</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Smartly,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2755 Canyon Blvd.</w:t>
              <w:br/>
              <w:t>Boulder, CO 80302</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136,388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656</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16, 2034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48,097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Smartly, Inc.</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584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738</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SOCi, Inc.</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350 10</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 xml:space="preserve">Ave, Suite 101 </w:t>
              <w:br/>
              <w:t>San Diego, CA 92101</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3, 2029</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+ 7.9%;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35,919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35,227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35,739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(7)(13)(18)(19)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3, 2029</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+ 7.9%; EOT 0.0%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3,274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3,207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3,259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(7)(13)(18)(19)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3, 2029</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+ 7.9%;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1,645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1,610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1,610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(7)(13)(18)(19)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SOCi, Inc.</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40,838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40,044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40,608</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Sortera Technologies, Inc.</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5224 Asher Drive, Markle, IN 46770</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2028</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12.5%;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5,593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5,639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(8)(13)(18)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11, 2035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$5.23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44,982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337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Sortera Technologies,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5,850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5,930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5,928</w:t>
            </w:r>
          </w:p>
        </w:tc>
        <w:tc>
          <w:tcPr>
            <w:tcW w:w="946"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2045" w:type="dxa"/>
        <w:jc w:val="left"/>
        <w:tblInd w:w="0" w:type="dxa"/>
        <w:tblLayout w:type="fixed"/>
        <w:tblCellMar>
          <w:top w:w="0" w:type="dxa"/>
          <w:left w:w="0" w:type="dxa"/>
          <w:bottom w:w="0" w:type="dxa"/>
          <w:right w:w="0" w:type="dxa"/>
        </w:tblCellMar>
      </w:tblPr>
      <w:tblGrid>
        <w:gridCol w:w="901"/>
        <w:gridCol w:w="146"/>
        <w:gridCol w:w="1826"/>
        <w:gridCol w:w="146"/>
        <w:gridCol w:w="1021"/>
        <w:gridCol w:w="146"/>
        <w:gridCol w:w="1171"/>
        <w:gridCol w:w="146"/>
        <w:gridCol w:w="781"/>
        <w:gridCol w:w="146"/>
        <w:gridCol w:w="811"/>
        <w:gridCol w:w="146"/>
        <w:gridCol w:w="946"/>
        <w:gridCol w:w="146"/>
        <w:gridCol w:w="1006"/>
        <w:gridCol w:w="146"/>
        <w:gridCol w:w="661"/>
        <w:gridCol w:w="146"/>
        <w:gridCol w:w="661"/>
        <w:gridCol w:w="946"/>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Perspective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Space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J5-1196 Shuttle Landing Facility </w:t>
              <w:br/>
              <w:t>Kennedy Space Center, FL 32899</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2026</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+ 7.8% or Floor rate 11.0%; EOT 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2,854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3,021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(7)(17)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3, 2032</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 Strike Price $2.74517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221,280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Space Perspective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2,854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3,277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Steno Agency,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2101 Thrift Rd </w:t>
              <w:br/>
              <w:t>Charlotte, NC 28202</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2029</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12.5%;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3,740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3,759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2029</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12.5%; EOT 2.5%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3,646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3,681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2029</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12.5%;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3,479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3,479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21, 2034</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$1.98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55,818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21, 2034</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$1.98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54,476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164</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Steno Agency,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11,040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11,078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11,203</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Super73,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16591 Noyes Ave. </w:t>
              <w:br/>
              <w:t>Irvine, CA 92606</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31, 2030</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$3.16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177,305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Swimlane,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Artificial Intelligence &amp; Automation</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999 18</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 xml:space="preserve">St #2201N </w:t>
              <w:br/>
              <w:t>Denver, CO 80202</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2030</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+ 4.3% or Floor rate 11.8%; EOT 2.3%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18,800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18,381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18,381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(7)(13)(18)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28, 2037</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B; Strike Price $0.1918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3,589,055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(16)(18)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Swimlane,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18,800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18,631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18,595</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Tarana Wireless,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Connectivity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590 Alder Dr. </w:t>
              <w:br/>
              <w:t>Milpitas, CA 95035</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 2029</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12.5%;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14,800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14,247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14,422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30, 2031</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$0.19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5,027,629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967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2,697</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23, 2034</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$0.51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2,094,922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695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611,246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560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Tarana Wireless,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14,800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16,409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18,439</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Taysha Gene Therapies,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Biotechnology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3000 Pegasus Park Drive, Suite 1430 </w:t>
              <w:br/>
              <w:t>Dallas, TX 75247</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2028</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+ 4.5% or Floor rate 12.8%; EOT 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30,000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30,396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31,049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 </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The Fynder Group, Inc.</w:t>
            </w:r>
          </w:p>
        </w:tc>
        <w:tc>
          <w:tcPr>
            <w:tcW w:w="146" w:type="dxa"/>
            <w:tcBorders/>
          </w:tcPr>
          <w:p>
            <w:pPr>
              <w:pStyle w:val="TableContents"/>
              <w:bidi w:val="0"/>
              <w:spacing w:before="0" w:after="283"/>
              <w:jc w:val="left"/>
              <w:rPr/>
            </w:pPr>
            <w:r>
              <w:rPr/>
              <w:t> </w:t>
            </w:r>
          </w:p>
        </w:tc>
        <w:tc>
          <w:tcPr>
            <w:tcW w:w="182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815 W Pershing Rd., Unit 4 Chicago, IL 60609</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14, 2030</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$0.49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36,445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68</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0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The Tomorrow Companies, Inc.</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9 Channel Center St. 7</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Boston, MA 02210</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14, 2032</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26,124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w:t>
            </w:r>
          </w:p>
        </w:tc>
      </w:tr>
      <w:tr>
        <w:trPr/>
        <w:tc>
          <w:tcPr>
            <w:tcW w:w="90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8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E-1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108,088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 </w:t>
            </w:r>
          </w:p>
        </w:tc>
      </w:tr>
      <w:tr>
        <w:trPr/>
        <w:tc>
          <w:tcPr>
            <w:tcW w:w="90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The Tomorrow Companies, Inc.</w:t>
            </w:r>
          </w:p>
        </w:tc>
        <w:tc>
          <w:tcPr>
            <w:tcW w:w="146" w:type="dxa"/>
            <w:tcBorders/>
          </w:tcPr>
          <w:p>
            <w:pPr>
              <w:pStyle w:val="TableContents"/>
              <w:bidi w:val="0"/>
              <w:spacing w:before="0" w:after="283"/>
              <w:jc w:val="left"/>
              <w:rPr/>
            </w:pPr>
            <w:r>
              <w:rPr/>
              <w:t> </w:t>
            </w:r>
          </w:p>
        </w:tc>
        <w:tc>
          <w:tcPr>
            <w:tcW w:w="18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374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256</w:t>
            </w:r>
          </w:p>
        </w:tc>
        <w:tc>
          <w:tcPr>
            <w:tcW w:w="946"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800" w:type="dxa"/>
        <w:jc w:val="left"/>
        <w:tblInd w:w="0" w:type="dxa"/>
        <w:tblLayout w:type="fixed"/>
        <w:tblCellMar>
          <w:top w:w="0" w:type="dxa"/>
          <w:left w:w="0" w:type="dxa"/>
          <w:bottom w:w="0" w:type="dxa"/>
          <w:right w:w="0" w:type="dxa"/>
        </w:tblCellMar>
      </w:tblPr>
      <w:tblGrid>
        <w:gridCol w:w="986"/>
        <w:gridCol w:w="146"/>
        <w:gridCol w:w="1376"/>
        <w:gridCol w:w="146"/>
        <w:gridCol w:w="1021"/>
        <w:gridCol w:w="146"/>
        <w:gridCol w:w="1111"/>
        <w:gridCol w:w="146"/>
        <w:gridCol w:w="961"/>
        <w:gridCol w:w="146"/>
        <w:gridCol w:w="811"/>
        <w:gridCol w:w="146"/>
        <w:gridCol w:w="946"/>
        <w:gridCol w:w="146"/>
        <w:gridCol w:w="1006"/>
        <w:gridCol w:w="146"/>
        <w:gridCol w:w="661"/>
        <w:gridCol w:w="146"/>
        <w:gridCol w:w="661"/>
        <w:gridCol w:w="946"/>
      </w:tblGrid>
      <w:tr>
        <w:trPr/>
        <w:tc>
          <w:tcPr>
            <w:tcW w:w="9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TMRW Life Sciences,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 Hudson St., Floor 6 New York, NY 10013</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2027</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+ 5.0% or Floor rate 8.8%;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5,150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4,792</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2027</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+ 5.0% or Floor rate 8.8%;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15,401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14,796</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2027</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+ 5.0% or Floor rate 8.8%;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10,218</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9,825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(7)(13)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29, 2032</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Class A; Strike Price $2.0889363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268,983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29, 2032</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Class A; Strike Price $2.0889363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268,983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TMRW Life Sciences,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30,000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30,929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29,415</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Trendly,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260 W 35</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Suite 700 New York, NY 10001</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10, 2026</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 Strike Price $1.14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245,506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222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Trinity Capital Adviser, LLC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Multi-Sector Holdings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 N 1</w:t>
            </w:r>
            <w:r>
              <w:rPr>
                <w:rFonts w:ascii="Times New Roman PS Std;serif" w:hAnsi="Times New Roman PS Std;serif"/>
                <w:b w:val="false"/>
                <w:i w:val="false"/>
                <w:caps w:val="false"/>
                <w:smallCaps w:val="false"/>
                <w:sz w:val="8"/>
              </w:rPr>
              <w:t>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Street Suite 302 Phoenix, AZ 85004</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8,707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Under Technologies, Inc.</w:t>
            </w:r>
          </w:p>
        </w:tc>
        <w:tc>
          <w:tcPr>
            <w:tcW w:w="146" w:type="dxa"/>
            <w:tcBorders/>
          </w:tcPr>
          <w:p>
            <w:pPr>
              <w:pStyle w:val="TableContents"/>
              <w:bidi w:val="0"/>
              <w:spacing w:before="0" w:after="283"/>
              <w:jc w:val="left"/>
              <w:rPr/>
            </w:pPr>
            <w:r>
              <w:rPr/>
              <w:t> </w:t>
            </w:r>
          </w:p>
        </w:tc>
        <w:tc>
          <w:tcPr>
            <w:tcW w:w="137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100 Crosby Street New York, NY 94607</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2029</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+ 3.8% or Floor rate 12.0%; EOT 4.3%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7,319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7,419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2029</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+ 3.8% or Floor rate 12.0%; EOT 4.3%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7,297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7,311</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3, 2034</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$2.9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76,133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210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Under Technologies, Inc.</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14,800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14,826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14,934</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UnTuckIt, Inc.</w:t>
            </w:r>
          </w:p>
        </w:tc>
        <w:tc>
          <w:tcPr>
            <w:tcW w:w="146" w:type="dxa"/>
            <w:tcBorders/>
          </w:tcPr>
          <w:p>
            <w:pPr>
              <w:pStyle w:val="TableContents"/>
              <w:bidi w:val="0"/>
              <w:spacing w:before="0" w:after="283"/>
              <w:jc w:val="left"/>
              <w:rPr/>
            </w:pPr>
            <w:r>
              <w:rPr/>
              <w:t> </w:t>
            </w:r>
          </w:p>
        </w:tc>
        <w:tc>
          <w:tcPr>
            <w:tcW w:w="137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110 Greene St. New York, NY 10012</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2025</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12.0%; EOT 5.0%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2,601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3,576</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3,536</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Upward Health,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Other Healthcare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80 Arkay Drive, Suite 230 Hauppauge, NY 11788</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1, 2029</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+ 4.3% or Floor rate 12.8%; EOT 3.0%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5,875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5,756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5,864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August 6, 2034</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Stock; Strike Price $0.28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763,137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251</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365</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Upward Health, Inc.</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5,875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6,007</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6,229</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Uveye, Inc.</w:t>
            </w:r>
          </w:p>
        </w:tc>
        <w:tc>
          <w:tcPr>
            <w:tcW w:w="146" w:type="dxa"/>
            <w:tcBorders/>
          </w:tcPr>
          <w:p>
            <w:pPr>
              <w:pStyle w:val="TableContents"/>
              <w:bidi w:val="0"/>
              <w:spacing w:before="0" w:after="283"/>
              <w:jc w:val="left"/>
              <w:rPr/>
            </w:pPr>
            <w:r>
              <w:rPr/>
              <w:t> </w:t>
            </w:r>
          </w:p>
        </w:tc>
        <w:tc>
          <w:tcPr>
            <w:tcW w:w="137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Transportation Technology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9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 Frank W Burr Blvd Teaneck, NJ 07666</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2028</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11.9%; EOT 1.0%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17,189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17,095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17,164</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1, 2028</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11.9%; EOT 1.0%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4,675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4,639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4,653</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1, 2028</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11.6%; EOT 1.0%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1,189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1,189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 </w:t>
            </w:r>
          </w:p>
        </w:tc>
      </w:tr>
      <w:tr>
        <w:trPr/>
        <w:tc>
          <w:tcPr>
            <w:tcW w:w="9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Equipment Financing</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 2028</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11.9%; EOT 1.0%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3,858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3,819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3,819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(13) </w:t>
            </w:r>
          </w:p>
        </w:tc>
      </w:tr>
      <w:tr>
        <w:trPr/>
        <w:tc>
          <w:tcPr>
            <w:tcW w:w="9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26, 2034</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Ordinary; Strike Price $4.38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476,031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539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459</w:t>
            </w:r>
          </w:p>
        </w:tc>
        <w:tc>
          <w:tcPr>
            <w:tcW w:w="946" w:type="dxa"/>
            <w:tcBorders/>
            <w:shd w:fill="CCEEFF" w:val="clear"/>
            <w:vAlign w:val="bottom"/>
          </w:tcPr>
          <w:p>
            <w:pPr>
              <w:pStyle w:val="TableContents"/>
              <w:bidi w:val="0"/>
              <w:spacing w:before="0" w:after="283"/>
              <w:jc w:val="left"/>
              <w:rPr/>
            </w:pPr>
            <w:r>
              <w:rPr/>
              <w:t> </w:t>
            </w:r>
          </w:p>
        </w:tc>
      </w:tr>
      <w:tr>
        <w:trPr/>
        <w:tc>
          <w:tcPr>
            <w:tcW w:w="98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Uveye, Inc.</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26,922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27,281</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27,284</w:t>
            </w:r>
          </w:p>
        </w:tc>
        <w:tc>
          <w:tcPr>
            <w:tcW w:w="946"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2025" w:type="dxa"/>
        <w:jc w:val="left"/>
        <w:tblInd w:w="0" w:type="dxa"/>
        <w:tblLayout w:type="fixed"/>
        <w:tblCellMar>
          <w:top w:w="0" w:type="dxa"/>
          <w:left w:w="0" w:type="dxa"/>
          <w:bottom w:w="0" w:type="dxa"/>
          <w:right w:w="0" w:type="dxa"/>
        </w:tblCellMar>
      </w:tblPr>
      <w:tblGrid>
        <w:gridCol w:w="1241"/>
        <w:gridCol w:w="146"/>
        <w:gridCol w:w="1376"/>
        <w:gridCol w:w="146"/>
        <w:gridCol w:w="1021"/>
        <w:gridCol w:w="146"/>
        <w:gridCol w:w="1111"/>
        <w:gridCol w:w="146"/>
        <w:gridCol w:w="931"/>
        <w:gridCol w:w="146"/>
        <w:gridCol w:w="811"/>
        <w:gridCol w:w="146"/>
        <w:gridCol w:w="946"/>
        <w:gridCol w:w="146"/>
        <w:gridCol w:w="1006"/>
        <w:gridCol w:w="146"/>
        <w:gridCol w:w="661"/>
        <w:gridCol w:w="146"/>
        <w:gridCol w:w="661"/>
        <w:gridCol w:w="946"/>
      </w:tblGrid>
      <w:tr>
        <w:trPr/>
        <w:tc>
          <w:tcPr>
            <w:tcW w:w="1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Velentium,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Other Healthcare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7535 West Grand Parkway South Richmond, TX 77407</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24, 2029</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+ 5.0% or Floor rate 12.5%; EOT 5.3%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8,450</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8,348</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 </w:t>
            </w:r>
          </w:p>
        </w:tc>
      </w:tr>
      <w:tr>
        <w:trPr/>
        <w:tc>
          <w:tcPr>
            <w:tcW w:w="124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24, 2034</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Class B; Strike Price $53.4</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7,958</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89</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(8)(16) </w:t>
            </w:r>
          </w:p>
        </w:tc>
      </w:tr>
      <w:tr>
        <w:trPr/>
        <w:tc>
          <w:tcPr>
            <w:tcW w:w="124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Velentium, Inc.</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8,579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8,437</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Vertical Communications, Inc.</w:t>
            </w:r>
          </w:p>
        </w:tc>
        <w:tc>
          <w:tcPr>
            <w:tcW w:w="146" w:type="dxa"/>
            <w:tcBorders/>
          </w:tcPr>
          <w:p>
            <w:pPr>
              <w:pStyle w:val="TableContents"/>
              <w:bidi w:val="0"/>
              <w:spacing w:before="0" w:after="283"/>
              <w:jc w:val="left"/>
              <w:rPr/>
            </w:pPr>
            <w:r>
              <w:rPr/>
              <w:t> </w:t>
            </w:r>
          </w:p>
        </w:tc>
        <w:tc>
          <w:tcPr>
            <w:tcW w:w="137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Connectivity</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3140 De La Cruz Blvd., Suite 110 </w:t>
              <w:br/>
              <w:t xml:space="preserve">Santa Clara, </w:t>
              <w:br/>
              <w:t>CA 95054</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 2026</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11.0%; EOT 23.8%</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12,600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15,767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15,767</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(7)(21)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11, 2026</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A; Strike Price $1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828,479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 </w:t>
            </w:r>
          </w:p>
        </w:tc>
      </w:tr>
      <w:tr>
        <w:trPr/>
        <w:tc>
          <w:tcPr>
            <w:tcW w:w="124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3,892,485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(10)(16)(21)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Convertible Note</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5,500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3,966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239</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(15)(21) </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Vertical Communications,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12,600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19,733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16,006</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viaPhoton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Connectivity</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2640 White Oak Circle, Ste. C </w:t>
              <w:br/>
              <w:t>Aurora, IL 60502</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31, 2032</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$0.6</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15,839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SAFE Note</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740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370</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viaPhoton Inc.</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392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383</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Vital Connect, Inc.</w:t>
            </w:r>
          </w:p>
        </w:tc>
        <w:tc>
          <w:tcPr>
            <w:tcW w:w="146" w:type="dxa"/>
            <w:tcBorders/>
          </w:tcPr>
          <w:p>
            <w:pPr>
              <w:pStyle w:val="TableContents"/>
              <w:bidi w:val="0"/>
              <w:spacing w:before="0" w:after="283"/>
              <w:jc w:val="left"/>
              <w:rPr/>
            </w:pPr>
            <w:r>
              <w:rPr/>
              <w:t> </w:t>
            </w:r>
          </w:p>
        </w:tc>
        <w:tc>
          <w:tcPr>
            <w:tcW w:w="137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Medical Devices</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2870 Zanker Rd, Suite 100 San Jose, CA 95134</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 2029</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11.5%; EOT 4.0%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27,650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27,629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27,853</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(7)(8)(18)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July 3, 2029</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+ 4.0% or Floor rate 11.5%; EOT 4.0%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7,900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7,846</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7,914</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(7)(8)(18) </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Vital Connect,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35,550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35,475</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35,767</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Vox Media Holdings,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Marketing, Media, and Entertainment</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1201 Connecticut Ave., NW, FL 12 Washington, DC 20036</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 2027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+ 6.3% or Floor rate 11.8%; EOT 2.5%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10,506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10,472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10,375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124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2028</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+ 6.3% or Floor rate 11.8%;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5,251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5,233</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5,192</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June 25, 2035</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Stock; Strike Price $0.37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1,580,142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464</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477</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Vox Media Holdings,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15,757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16,169</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16,044</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Whoop,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Consumer Products &amp; Services</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1325 Boylston St., #401 Boston, MA 02215</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17, 2033</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$0.43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2,393,845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1,099</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2,855</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124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r>
      <w:tr>
        <w:trPr/>
        <w:tc>
          <w:tcPr>
            <w:tcW w:w="1241"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Wisetack, Inc.</w:t>
            </w:r>
          </w:p>
        </w:tc>
        <w:tc>
          <w:tcPr>
            <w:tcW w:w="146" w:type="dxa"/>
            <w:tcBorders/>
          </w:tcPr>
          <w:p>
            <w:pPr>
              <w:pStyle w:val="TableContents"/>
              <w:bidi w:val="0"/>
              <w:spacing w:before="0" w:after="283"/>
              <w:jc w:val="left"/>
              <w:rPr/>
            </w:pPr>
            <w:r>
              <w:rPr/>
              <w:t> </w:t>
            </w:r>
          </w:p>
        </w:tc>
        <w:tc>
          <w:tcPr>
            <w:tcW w:w="137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Finance and Insurance</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r>
      <w:tr>
        <w:trPr/>
        <w:tc>
          <w:tcPr>
            <w:tcW w:w="12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460 Brannan St Unit 78384 San Francisco, CA 94107</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1, 2029</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+ 5.0% or Floor rate 12.5%; EOT 2.5%</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12,010</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12,120</w:t>
            </w:r>
          </w:p>
        </w:tc>
        <w:tc>
          <w:tcPr>
            <w:tcW w:w="9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(7)(8)(13)(18) </w:t>
            </w:r>
          </w:p>
        </w:tc>
      </w:tr>
      <w:tr>
        <w:trPr/>
        <w:tc>
          <w:tcPr>
            <w:tcW w:w="12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7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November 14, 2034</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$1.58</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111,153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102</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160</w:t>
            </w:r>
          </w:p>
        </w:tc>
        <w:tc>
          <w:tcPr>
            <w:tcW w:w="9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(8)(18) </w:t>
            </w:r>
          </w:p>
        </w:tc>
      </w:tr>
      <w:tr>
        <w:trPr/>
        <w:tc>
          <w:tcPr>
            <w:tcW w:w="1241"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Wisetack, Inc.</w:t>
            </w:r>
          </w:p>
        </w:tc>
        <w:tc>
          <w:tcPr>
            <w:tcW w:w="146" w:type="dxa"/>
            <w:tcBorders/>
            <w:shd w:fill="CCEEFF" w:val="clear"/>
          </w:tcPr>
          <w:p>
            <w:pPr>
              <w:pStyle w:val="TableContents"/>
              <w:bidi w:val="0"/>
              <w:spacing w:before="0" w:after="283"/>
              <w:jc w:val="left"/>
              <w:rPr/>
            </w:pPr>
            <w:r>
              <w:rPr/>
              <w:t> </w:t>
            </w:r>
          </w:p>
        </w:tc>
        <w:tc>
          <w:tcPr>
            <w:tcW w:w="137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12,150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12,112</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12,280</w:t>
            </w:r>
          </w:p>
        </w:tc>
        <w:tc>
          <w:tcPr>
            <w:tcW w:w="946"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3168" w:type="dxa"/>
        <w:jc w:val="left"/>
        <w:tblInd w:w="0" w:type="dxa"/>
        <w:tblLayout w:type="fixed"/>
        <w:tblCellMar>
          <w:top w:w="0" w:type="dxa"/>
          <w:left w:w="0" w:type="dxa"/>
          <w:bottom w:w="0" w:type="dxa"/>
          <w:right w:w="0" w:type="dxa"/>
        </w:tblCellMar>
      </w:tblPr>
      <w:tblGrid>
        <w:gridCol w:w="1346"/>
        <w:gridCol w:w="146"/>
        <w:gridCol w:w="1246"/>
        <w:gridCol w:w="146"/>
        <w:gridCol w:w="1021"/>
        <w:gridCol w:w="146"/>
        <w:gridCol w:w="1171"/>
        <w:gridCol w:w="146"/>
        <w:gridCol w:w="931"/>
        <w:gridCol w:w="146"/>
        <w:gridCol w:w="811"/>
        <w:gridCol w:w="146"/>
        <w:gridCol w:w="946"/>
        <w:gridCol w:w="146"/>
        <w:gridCol w:w="1006"/>
        <w:gridCol w:w="146"/>
        <w:gridCol w:w="256"/>
        <w:gridCol w:w="886"/>
        <w:gridCol w:w="146"/>
        <w:gridCol w:w="256"/>
        <w:gridCol w:w="886"/>
        <w:gridCol w:w="901"/>
        <w:gridCol w:w="191"/>
      </w:tblGrid>
      <w:tr>
        <w:trPr/>
        <w:tc>
          <w:tcPr>
            <w:tcW w:w="1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Portfolio Company</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Industry</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Type of </w:t>
              <w:br/>
              <w:t>Investment</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Maturity </w:t>
              <w:br/>
              <w:t>Date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Interest </w:t>
              <w:br/>
              <w:t>Rate</w:t>
            </w:r>
            <w:r>
              <w:rPr>
                <w:rFonts w:ascii="Times New Roman PS Std;serif" w:hAnsi="Times New Roman PS Std;serif"/>
                <w:b/>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Principal </w:t>
              <w:br/>
              <w:t>Amount</w:t>
            </w:r>
            <w:r>
              <w:rPr>
                <w:rFonts w:ascii="Times New Roman PS Std;serif" w:hAnsi="Times New Roman PS Std;serif"/>
                <w:b/>
                <w:i w:val="false"/>
                <w:caps w:val="false"/>
                <w:smallCaps w:val="false"/>
                <w:sz w:val="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 xml:space="preserve">Shares or </w:t>
              <w:br/>
              <w:t>Units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of Class</w:t>
              <w:br/>
              <w:t xml:space="preserve">Held on a </w:t>
              <w:br/>
              <w:t xml:space="preserve">Fully </w:t>
              <w:br/>
              <w:t xml:space="preserve">Diluted </w:t>
              <w:br/>
              <w:t>Basis</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(5)</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Footnotes</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WorkWell Prevention &amp; Care</w:t>
            </w:r>
          </w:p>
        </w:tc>
        <w:tc>
          <w:tcPr>
            <w:tcW w:w="146" w:type="dxa"/>
            <w:tcBorders/>
            <w:shd w:fill="CCEEFF" w:val="clear"/>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Healthcare Technology</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r>
      <w:tr>
        <w:trPr/>
        <w:tc>
          <w:tcPr>
            <w:tcW w:w="134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11 E. Superior, Suite 410 Duluth, MN 55802</w:t>
            </w:r>
          </w:p>
        </w:tc>
        <w:tc>
          <w:tcPr>
            <w:tcW w:w="146" w:type="dxa"/>
            <w:tcBorders/>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7,000,000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51</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(21)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Preferred Series P</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3,450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3,450</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(16)(21)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Equity</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Convertible Note</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3,170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3,219</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(15)(21)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+ 5.0% or Floor rate 6.0%;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500</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(7)(21)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WorkWell Prevention &amp; Care</w:t>
            </w:r>
          </w:p>
        </w:tc>
        <w:tc>
          <w:tcPr>
            <w:tcW w:w="146" w:type="dxa"/>
            <w:tcBorders/>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7,220</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500</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Xytech Systems, LLC</w:t>
            </w:r>
          </w:p>
        </w:tc>
        <w:tc>
          <w:tcPr>
            <w:tcW w:w="146" w:type="dxa"/>
            <w:tcBorders/>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SAAS</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9410 Topanga Canyon Blvd, Suite 200 Chatsworth, CA 91311</w:t>
            </w:r>
          </w:p>
        </w:tc>
        <w:tc>
          <w:tcPr>
            <w:tcW w:w="146" w:type="dxa"/>
            <w:tcBorders/>
            <w:shd w:fill="CCEEFF" w:val="clear"/>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February 26, 2030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SOFR 3 Month Term + 6.0%; EOT 0.0%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39,200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38,471</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39,579</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(7)(18)(19)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Yellowbrick, Inc.</w:t>
            </w:r>
          </w:p>
        </w:tc>
        <w:tc>
          <w:tcPr>
            <w:tcW w:w="146" w:type="dxa"/>
            <w:tcBorders/>
            <w:shd w:fill="CCEEFF" w:val="clear"/>
          </w:tcPr>
          <w:p>
            <w:pPr>
              <w:pStyle w:val="TableContents"/>
              <w:bidi w:val="0"/>
              <w:spacing w:before="0" w:after="283"/>
              <w:jc w:val="left"/>
              <w:rPr/>
            </w:pPr>
            <w:r>
              <w:rPr/>
              <w:t> </w:t>
            </w:r>
          </w:p>
        </w:tc>
        <w:tc>
          <w:tcPr>
            <w:tcW w:w="124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Education Technology</w:t>
            </w:r>
          </w:p>
        </w:tc>
        <w:tc>
          <w:tcPr>
            <w:tcW w:w="146" w:type="dxa"/>
            <w:tcBorders/>
            <w:shd w:fill="CCEEFF" w:val="clear"/>
          </w:tcPr>
          <w:p>
            <w:pPr>
              <w:pStyle w:val="TableContents"/>
              <w:bidi w:val="0"/>
              <w:spacing w:before="0" w:after="283"/>
              <w:jc w:val="left"/>
              <w:rPr/>
            </w:pPr>
            <w:r>
              <w:rPr/>
              <w:t> </w:t>
            </w:r>
          </w:p>
        </w:tc>
        <w:tc>
          <w:tcPr>
            <w:tcW w:w="102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17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3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8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0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56" w:type="dxa"/>
            <w:tcBorders/>
            <w:shd w:fill="CCEEFF" w:val="clea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56" w:type="dxa"/>
            <w:tcBorders/>
            <w:shd w:fill="CCEEFF" w:val="clea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tcPr>
          <w:p>
            <w:pPr>
              <w:pStyle w:val="TableContents"/>
              <w:bidi w:val="0"/>
              <w:spacing w:before="0" w:after="283"/>
              <w:jc w:val="left"/>
              <w:rPr/>
            </w:pPr>
            <w:r>
              <w:rPr/>
              <w:t> </w:t>
            </w:r>
          </w:p>
        </w:tc>
        <w:tc>
          <w:tcPr>
            <w:tcW w:w="901" w:type="dxa"/>
            <w:tcBorders/>
            <w:shd w:fill="CCEEFF" w:val="clear"/>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 </w:t>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4"/>
              </w:rPr>
              <w:t>15 W. 38</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St., 10</w:t>
            </w:r>
            <w:r>
              <w:rPr>
                <w:rFonts w:ascii="Times New Roman PS Std;serif" w:hAnsi="Times New Roman PS Std;serif"/>
                <w:b w:val="false"/>
                <w:i w:val="false"/>
                <w:caps w:val="false"/>
                <w:smallCaps w:val="false"/>
                <w:sz w:val="8"/>
              </w:rPr>
              <w:t>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4"/>
              </w:rPr>
              <w:t>Floor New York, NY 10018</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2026</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2.0%; EOT 5.0%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7,500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7,875</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7,171</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March 1, 2026</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Fixed interest rate 2.0%; EOT 5.0%</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2,500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2,625</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2,392</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September 30, 2028</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 xml:space="preserve">Common Stock; </w:t>
              <w:br/>
              <w:t>Strike Price $0.9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222,222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120</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Qubed, Inc. dba Yellowbrick</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10,620</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9,566</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Zandivio PLC</w:t>
            </w:r>
          </w:p>
        </w:tc>
        <w:tc>
          <w:tcPr>
            <w:tcW w:w="146" w:type="dxa"/>
            <w:tcBorders/>
            <w:shd w:fill="CCEEFF" w:val="clear"/>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Other Healthcare Services</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CALLE CALABRIA, 169 Barcelona, Spain 08015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May 1, 2029</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+ 5.3% or Floor rate 13.8%; EOT 2.5%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28,200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27,657</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28,051</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(7)(9)(13)(18)</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October 29, 2034</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$0.01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132,042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771</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711</w:t>
            </w:r>
          </w:p>
        </w:tc>
        <w:tc>
          <w:tcPr>
            <w:tcW w:w="9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(9)(18)</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Zandivio PLC</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28,200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28,428</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28,762</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Zero Acre Farms, Inc.</w:t>
            </w:r>
          </w:p>
        </w:tc>
        <w:tc>
          <w:tcPr>
            <w:tcW w:w="146" w:type="dxa"/>
            <w:tcBorders/>
          </w:tcPr>
          <w:p>
            <w:pPr>
              <w:pStyle w:val="TableContents"/>
              <w:bidi w:val="0"/>
              <w:spacing w:before="0" w:after="283"/>
              <w:jc w:val="left"/>
              <w:rPr/>
            </w:pPr>
            <w:r>
              <w:rPr/>
              <w:t> </w:t>
            </w:r>
          </w:p>
        </w:tc>
        <w:tc>
          <w:tcPr>
            <w:tcW w:w="124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Food and Agriculture Technologies</w:t>
            </w:r>
          </w:p>
        </w:tc>
        <w:tc>
          <w:tcPr>
            <w:tcW w:w="146" w:type="dxa"/>
            <w:tcBorders/>
          </w:tcPr>
          <w:p>
            <w:pPr>
              <w:pStyle w:val="TableContents"/>
              <w:bidi w:val="0"/>
              <w:spacing w:before="0" w:after="283"/>
              <w:jc w:val="left"/>
              <w:rPr/>
            </w:pPr>
            <w:r>
              <w:rPr/>
              <w:t> </w:t>
            </w:r>
          </w:p>
        </w:tc>
        <w:tc>
          <w:tcPr>
            <w:tcW w:w="10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7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3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0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56"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56"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tcPr>
          <w:p>
            <w:pPr>
              <w:pStyle w:val="TableContents"/>
              <w:bidi w:val="0"/>
              <w:spacing w:before="0" w:after="283"/>
              <w:jc w:val="left"/>
              <w:rPr/>
            </w:pPr>
            <w:r>
              <w:rPr/>
              <w:t> </w:t>
            </w:r>
          </w:p>
        </w:tc>
        <w:tc>
          <w:tcPr>
            <w:tcW w:w="901"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1900 Alameda De Las Pulgas, Ste 150 San Mateo, CA 94403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December 23, 2032</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Class A Common Stock; Strike Price $2.13</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20,181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79</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Zuum Transportation, Inc.</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Transportation Technology</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131 Innovation Dr., Ste 100 Irvine, CA 92617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Secured Loan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January 1, 2027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Variable interest rate Prime + 6.0% or Floor rate 10.8%; EOT 2.5%</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4,818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4,902</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4,597</w:t>
            </w:r>
          </w:p>
        </w:tc>
        <w:tc>
          <w:tcPr>
            <w:tcW w:w="9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8"/>
              </w:rPr>
              <w:t>(7)</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Warrant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April 30, 2034</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Common Stock; Strike Price $4.34</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41,271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n/a</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95</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39</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4"/>
              </w:rPr>
            </w:pPr>
            <w:r>
              <w:rPr>
                <w:rFonts w:ascii="Times New Roman PS Std;serif" w:hAnsi="Times New Roman PS Std;serif"/>
                <w:b w:val="false"/>
                <w:i w:val="false"/>
                <w:caps w:val="false"/>
                <w:smallCaps w:val="false"/>
                <w:sz w:val="14"/>
              </w:rPr>
              <w:t>Total Zuum Transportation, Inc.</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4,818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4,997</w:t>
            </w:r>
          </w:p>
        </w:tc>
        <w:tc>
          <w:tcPr>
            <w:tcW w:w="14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4,636</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91" w:type="dxa"/>
            <w:tcBorders/>
            <w:shd w:fill="CCEEFF" w:val="clear"/>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Total Investment in Securities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2,000,938</w:t>
            </w:r>
          </w:p>
        </w:tc>
        <w:tc>
          <w:tcPr>
            <w:tcW w:w="146" w:type="dxa"/>
            <w:tcBorders/>
            <w:vAlign w:val="bottom"/>
          </w:tcPr>
          <w:p>
            <w:pPr>
              <w:pStyle w:val="TableContents"/>
              <w:bidi w:val="0"/>
              <w:spacing w:before="0" w:after="283"/>
              <w:jc w:val="left"/>
              <w:rPr/>
            </w:pPr>
            <w:r>
              <w:rPr/>
              <w:t> </w:t>
            </w:r>
          </w:p>
        </w:tc>
        <w:tc>
          <w:tcPr>
            <w:tcW w:w="25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1,978,330</w:t>
            </w:r>
          </w:p>
        </w:tc>
        <w:tc>
          <w:tcPr>
            <w:tcW w:w="901" w:type="dxa"/>
            <w:tcBorders/>
            <w:vAlign w:val="bottom"/>
          </w:tcPr>
          <w:p>
            <w:pPr>
              <w:pStyle w:val="TableContents"/>
              <w:bidi w:val="0"/>
              <w:spacing w:before="0" w:after="283"/>
              <w:jc w:val="left"/>
              <w:rPr/>
            </w:pPr>
            <w:r>
              <w:rPr/>
              <w:t> </w:t>
            </w:r>
          </w:p>
        </w:tc>
        <w:tc>
          <w:tcPr>
            <w:tcW w:w="1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All portfolio companies are located in North America or Europe. As of June 30, 2025, Trinity Capital Inc. (the “Company”) had eight foreign domiciled portfolio companies, four of which are based in Canada and four of which are based in Europe. In total, these foreign domiciled portfolio investments represent 13.8% of total net asset value based on fair value. 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All debt investments are income producing unless otherwise noted. All equity and warrant investments are non-income producing unless otherwise noted. Equipment financed under our equipment financing investments relates to operational equipment essential to revenue production for the portfolio company in the industry noted.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Interest rate is the fixed or variable rate of the debt investments and does not include any original issue discount, end-of-term (“EOT”) payment, or additional fees related to such investments, such as deferred interest, commitment fees, prepayment fees or exit fees. EOT payments are contractual payments due in cash at the maturity date of the loan, including upon prepayment, and are a fixed rate determined at the inception of the loan. At the end of the term of certain equipment financings, the borrower has the option to purchase the underlying assets at fair value, generally subject to a cap, or return the equipment and pay a restocking fee. The fair values of the financed assets have been estimated as a percentage of original cost for purpose of the EOT payment value. The EOT payment is amortized and recognized as non-cash income over the term of the loan or equipment financing prior to its payment and is included as a component of the cost basis of the Company’s current debt securities.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Principal is net of repayments, if any, as per the terms of the debt instrument’s contract.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Except as noted, all investments were valued at fair value as determined in good faith by the Company’s Board of Directors (the “Board”) using Level 3 inputs.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Asset is valued at fair value as determined in good faith by the Company’s Board using Level 1 and Level 2 inputs.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The interest rate on variable interest rate investments represents a benchmark rate plus spread. The benchmark interest rate is subject to an interest rate floor. As of June 30, 2025, the U.S. Prime Rate (“Prime”) was 7.50%, the Secured Overnight Financing Rate (“SOFR”) 30 Day Forward Rate was 4.32%, the SOFR 3-Month Term Rate was 4.28%, and the Canadian Overnight Repo Rate Average (“CORRA”) 3-Month Term rate was 2.68%.</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Senior Credit Corp 2022 LLC owns an additional portion of this security.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Indicates a “non-qualifying asset” under section 55(a) of the Investment Company Act of 1940, as amended (the “1940 Act”). The Company’s percentage of non-qualifying assets at fair value represents 17.7% of the Company’s total assets as of June 30, 2025. Qualifying assets must represent at least 70% of the Company’s total assets at the time of acquisition of any additional non-qualifying assets.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Investment has zero cost basis as it was purchased at a fair value of zero as part of the Company’s formation transactions (the “Formation Transactions”).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Investment is a secured loan warehouse facility collateralized by interest in specific assets that meet the eligibility requirements under the facility during the warehouse period. Repayment of the facility will occur over the amortizing period unless otherwise prepaid.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Company has been issued warrants with pricing and number of shares dependent upon a future round of equity issuance by the portfolio company.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Investment is pledged as collateral supporting amounts outstanding under the Company’s credit facility with KeyBank, National Association (the “KeyBank Credit Facility”).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Interest on this loan includes a payment-in-kind (“PIK”) provision. Contractual PIK interest, which represents contractually deferred interest added to the loan balance that is generally collected through amortization, is recorded on an accrual basis to the extent such amounts are expected to be collected.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Convertible notes represent investments through which the Company will participate in future equity rounds at preferential rates. There are no principal or interest payments made against the note unless conversion does not occur.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Preferred stock represents investments through which the Company will have preference in liquidation rights and do not contain any cumulative preferred dividends.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    Investment is on non-accrual status as of June 30, 2025 and is therefore considered non-income producing.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    EPT 16 LLC owns an additional portion of this security.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    Investment has an unfunded commitment as of June 30, 2025. The fair value of the investment includes the impact of the fair value of any unfunded commitments.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    Borrower is a wholly owned, special purpose vehicle subsidiary of named portfolio company.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    This investment is deemed to be a “Control Investment” or an “Affiliate Investment.” The Company classifies its investment portfolio in accordance with the requirements of the 1940 Act. The 1940 Act defines Control Investments as investments in companies in which the Company owns beneficially, either directly or indirectly, more than 25% of the voting securities, or maintains greater than 50% of the board representation. Affiliate Investments are defined by the 1940 Act as investments in companies in which the Company owns beneficially, either directly or indirectly, between 5% and 25% (inclusive) of the voting securities and does not have rights to maintain greater than 50% of the board representation.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9912"/>
      <w:bookmarkEnd w:id="27"/>
      <w:r>
        <w:rPr>
          <w:rFonts w:ascii="Times New Roman PS Std;serif" w:hAnsi="Times New Roman PS Std;serif"/>
          <w:b/>
          <w:i w:val="false"/>
          <w:caps w:val="false"/>
          <w:smallCaps w:val="false"/>
          <w:sz w:val="20"/>
        </w:rPr>
        <w:t xml:space="preserve">MANAGEMENT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in the sections entitled “Election of Director Nominees” and “Corporate Governance” in our most recent definitive proxy statement on Schedule 14A for our annual meeting of stockholders (the “Annual Proxy Statement”) are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9913"/>
      <w:bookmarkEnd w:id="28"/>
      <w:r>
        <w:rPr>
          <w:rFonts w:ascii="Times New Roman PS Std;serif" w:hAnsi="Times New Roman PS Std;serif"/>
          <w:b/>
          <w:i w:val="false"/>
          <w:caps w:val="false"/>
          <w:smallCaps w:val="false"/>
          <w:sz w:val="20"/>
        </w:rPr>
        <w:t xml:space="preserve">EXECUTIVE COMPENSATION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in the sections entitled “Executive Compensation” and “Director Compensation” in our most recent Annual Proxy Statement are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9914"/>
      <w:bookmarkEnd w:id="29"/>
      <w:r>
        <w:rPr>
          <w:rFonts w:ascii="Times New Roman PS Std;serif" w:hAnsi="Times New Roman PS Std;serif"/>
          <w:b/>
          <w:i w:val="false"/>
          <w:caps w:val="false"/>
          <w:smallCaps w:val="false"/>
          <w:sz w:val="20"/>
        </w:rPr>
        <w:t xml:space="preserve">CERTAIN RELATIONSHIPS AND RELATED-PARTY TRANSACTIONS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in the section entitled “Certain Relationships and Related Party Transactions” in our most recent Annual Proxy Statement is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9915"/>
      <w:bookmarkEnd w:id="30"/>
      <w:r>
        <w:rPr>
          <w:rFonts w:ascii="Times New Roman PS Std;serif" w:hAnsi="Times New Roman PS Std;serif"/>
          <w:b/>
          <w:i w:val="false"/>
          <w:caps w:val="false"/>
          <w:smallCaps w:val="false"/>
          <w:sz w:val="20"/>
        </w:rPr>
        <w:t xml:space="preserve">CONTROL PERSONS AND PRINCIPAL STOCKHOLDERS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in the sections entitled “Election of Director Nominees” and “Security Ownership of Management and Certain Beneficial Owners” in our most recent Annual Proxy Statement is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9916"/>
      <w:bookmarkEnd w:id="31"/>
      <w:r>
        <w:rPr>
          <w:rFonts w:ascii="Times New Roman PS Std;serif" w:hAnsi="Times New Roman PS Std;serif"/>
          <w:b/>
          <w:i w:val="false"/>
          <w:caps w:val="false"/>
          <w:smallCaps w:val="false"/>
          <w:sz w:val="20"/>
        </w:rPr>
        <w:t xml:space="preserve">DETERMINATION OF NET ASSET VALUE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Quarterly Determinations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determine the net asset value per share of our common stock quarterly. The net asset value per share is equal to the value of our total assets minus liabilities and any preferred stock outstanding divided by the total number of shares of common stock outstanding at the date as of which the determination is made. As of the date of this prospectus, we do not have any preferred stock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calculate the value of our investments in accordance with the procedures described in “Management’s Discussion and Analysis of Financial Condition and Results of Operations — Valuation of Investments” and “Fair Value of Financial Instruments” in the financial notes of our most recent Annual Report on Form 10-K and our most recent Quarterly Report on Form 10-Q, which are incorporated herein by reference.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Determinations in Connection with our Offerings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each offering of shares of our common stock, our Board or an authorized committee thereof is required by the 1940 Act to make the determination that we are not selling shares of our common stock at a price below our then current net asset value per share at the time at which the sale is made. Our Board or an authorized committee thereof considers the following factors, among others, in making such determination: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net asset value per share of our common stock disclosed in the most recent periodic report we filed with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management’s assessment of whether any material change in the net asset value per share of our common stock has occurred (including through the realization of net gains on the sale of our portfolio investments) during the period beginning on the date of the most recent public filing with the SEC that discloses the net asset value per share of our common stock and ending two days prior to the date of the sale of our common stock;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magnitude of the difference between the offering price of the shares of our common stock in the proposed offering and management’s assessment of any material change in the net asset value per share of our common stock during the period discussed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to the extent that there is a possibility that we may (i) issue shares of our common stock at a price per share below the then-current net asset value per share of our common stock at the time at which the sale is made or (ii) trigger the undertaking (which we provide in certain registration statements we file with the SEC) to suspend the offering of shares of our common stock if the net asset value per share fluctuates by certain amounts in certain circumstances until the prospectus is amended or supplemented, our Board or an authorized committee thereof will elect, in the case of clause (i) above, either to postpone the offering until such time that there is no longer the possibility of the occurrence of such event or to undertake to determine the net asset value per share within two days prior to any such sale to ensure that such sale will not be below our then current net asset value per share, and, in the case of clause (ii) above, to comply with such undertaking or to undertake to determine the net asset value per share to ensure that such undertaking has not been triggered.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processes and procedures are part of our compliance policies and procedures. Records are made contemporaneously with all determinations described in this section and these records are maintained with other records we are required to maintain under the 1940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9917"/>
      <w:bookmarkEnd w:id="32"/>
      <w:r>
        <w:rPr>
          <w:rFonts w:ascii="Times New Roman PS Std;serif" w:hAnsi="Times New Roman PS Std;serif"/>
          <w:b/>
          <w:i w:val="false"/>
          <w:caps w:val="false"/>
          <w:smallCaps w:val="false"/>
          <w:sz w:val="20"/>
        </w:rPr>
        <w:t xml:space="preserve">SALES OF COMMON STOCK BELOW NET ASSET VALUE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we offer common stock, the offering price per share of our common stock less any underwriting discounts or commissions generally will not be less than the net asset value per share of our common stock at the time we make the offering. However, we may issue shares of our common stock pursuant to this prospectus and any accompanying prospectus supplement at a price per share that is less than our net asset value per share (i) in connection with a rights offering to our existing stockholders, (ii) with the prior approval of the majority of our common stockholders (as defined in the 1940 Act), or (iii) under such other circumstances as the U.S. Securities and Exchange Commission (the “SEC”) may permit. We cannot issue shares of our common stock below net asset value unless our board of directors (the “Board”) determines that it would be in our and our stockholders’ best interests to do so. Sales of common stock at prices below net asset value per share dilute the interests of existing stockholders, have the effect of reducing our net asset value per share and may reduce our market price per share. In addition, continuous sales of common stock below net asset value may have a negative impact on total returns and could have a negative impact on the market price of our shares of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sell shares of common stock below net asset value per share in connection with a rights offering to our existing stockholders, such offering will be designed to raise capital for investment in accordance with our investment objective and strategies.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by us of our common stock at a discount from net asset value pose potential risks for our existing stockholders whether or not they participate in the offering, as well as for new investors who participate in the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9918"/>
      <w:bookmarkEnd w:id="33"/>
      <w:r>
        <w:rPr>
          <w:rFonts w:ascii="Times New Roman PS Std;serif" w:hAnsi="Times New Roman PS Std;serif"/>
          <w:b/>
          <w:i w:val="false"/>
          <w:caps w:val="false"/>
          <w:smallCaps w:val="false"/>
          <w:sz w:val="20"/>
        </w:rPr>
        <w:t xml:space="preserve">DISTRIBUTION REINVESTMENT PLAN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distribution reinvestment plan, as amended and restated, that provides for the reinvestment of our stockholder distributions, unless a stockholder elects to receive cash as provided below. As a result, if our Board declares a cash distribution, then our stockholders who have not “opted out” of such distribution reinvestment plan will have their cash distribution automatically reinvested in additional shares of our common stock, rather than receiving the cash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action is required on the part of a registered stockholder to have its cash distribution reinvested in shares of our common stock. Equiniti Trust Company, LLC (formerly American Stock Transfer &amp; Trust Company, LLC), the plan administrator (the “Plan Administrator”), and our transfer and dividend paying agent and registrar will set up an account for shares acquired through the plan for each stockholder and hold such shares in non-certificated 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registered stockholder may elect to receive an entire distribution in cash by notifying the Plan Administrator in writing so that such notice is received by the Plan Administrator no later than three (3) days prior to the payment date for the applicable distributions to stockholders. Such election will remain in effect until the stockholder notifies the Plan Administrator in writing of such stockholder’s desire to change its election, which notice must be delivered to the Plan Administrator no later than three (3) days prior to the payment date for the first distribution for which such stockholder wishes its new election to take effect. Upon request by a stockholder participating in the plan to opt out of the plan, received in writing not less than three (3) days prior to the payment date for the applicable distributions to stockholders, the Plan Administrator will, instead of crediting shares to the participant’s account, issue a check for the cash distribution. Those stockholders whose shares are held by a broker or other financial intermediary may receive distributions in cash by notifying their broker or nominee of their election.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brokerage charges or other charges to stockholders who participate in the plan. The Plan Administrator’s fees are paid by us. If a participant elects by written notice to the Plan Administrator prior to termination of his or her account to have the Plan Administrator sell part or all of the shares held by the Plan Administrator in the participant’s account and remit the proceeds to the participant, the Plan Administrator is authorized to deduct a $15.00 transaction fee plus a $0.12 per share brokerage commission from the proceeds.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receive distributions in the form of stock are generally subject to the same U.S. federal, state and local tax consequences as are stockholders who elect to receive their distributions in cash. However, since a participating stockholder’s cash distributions are reinvested, such stockholder does not receive cash with which to pay any applicable taxes on reinvested distributions. A stockholder’s tax basis in the stock received in a distribution from us is generally equal to the amount of the reinvested distribution. Any stock received in a distribution has a new holding period, for U.S. federal income tax purposes, commencing on the day following the day on which the shares are credited to the U.S. stockholder’s account.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Participants may terminate their accounts under the plan by notifying the Plan Administrator by filling out the transaction request form located at the bottom of the participant’s statement and sending it to the Plan Administrator at the address below. Those stockholders whose shares are held by a broker or other nominee who wish to terminate his or her account under the plan may do so by notifying his or her broker or nominee.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may be terminated by us upon notice in writing mailed to each participant at least 30 days prior to the termination date. All correspondence concerning the plan should be directed to the Plan Administrator by mail at Plan Administrator c/o Equiniti Trust Company, LLC, 6201 15th Avenue, Brooklyn, NY 11219, telephone number: (718) 921-8200.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withdraw or the plan is terminated, you will receive the number of whole shares in your account under the plan and a cash payment for any fraction of a share in your account.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your common stock with a brokerage firm that does not participate in the plan, you will not be able to participate in the plan and any distribution reinvestment may be effected on different terms than those described above. Consult your financial advisor for more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9919"/>
      <w:bookmarkEnd w:id="34"/>
      <w:r>
        <w:rPr>
          <w:rFonts w:ascii="Times New Roman PS Std;serif" w:hAnsi="Times New Roman PS Std;serif"/>
          <w:b/>
          <w:i w:val="false"/>
          <w:caps w:val="false"/>
          <w:smallCaps w:val="false"/>
          <w:sz w:val="20"/>
        </w:rPr>
        <w:t xml:space="preserve">CERTAIN U.S. FEDERAL INCOME TAX CONSIDERATIONS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a general summary of certain U.S. federal income tax considerations applicable to us and to an investment in the shares of our common stock. This discussion does not purport to be a complete description of the U.S. federal income tax considerations applicable to such an investment. For example, this discussion does not describe tax consequences that we have assumed to be generally known by investors or certain considerations that may be relevant to certain types of holders subject to special treatment under U.S. federal income tax laws, including persons who hold our common stock as part of a straddle or a hedging, integrated or constructive sale transaction, persons subject to the alternative minimum tax, tax-exempt organizations, insurance companies, brokers or dealers in securities, pension plans and trusts, persons whose functional currency is not the U.S. dollar, U.S. expatriates, regulated investment companies, real estate investment trusts, personal holding companies, persons who acquire shares of our common stock in connection with the performance of services, and financial institutions. Such persons should consult with their own tax advisers as to the U.S. federal income tax consequences of an investment in our common stock, which may differ substantially from those described herein. This discussion assumes that stockholders hold our common stock as capital assets (within the meaning of the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discussion is based upon the Code, Treasury regulations, and administrative and judicial interpretations, each as of the date of this Registration Statement and all of which are subject to change, possibly retroactively, which could affect the continuing validity of this discussion. We have not sought and will not seek any ruling from the Internal Revenue Service regarding any matter discussed herein. Prospective investors should be aware that, although we intend to adopt positions we believe are in accord with current interpretations of the U.S. federal income tax laws, the Internal Revenue Service (“IRS”) may not agree with the tax positions taken by us and that, if challenged by the IRS, our tax positions might not be sustained by the courts. This summary does not discuss any aspects of U.S. estate, alternative minimum, or gift tax or foreign, state or local tax. It also does not discuss the special treatment under U.S. federal income tax laws that could result if we invested in tax-exempt securities or certain other investment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discussion, a “U.S. Stockholder” generally is a beneficial owner of the Company’s common stock that is for U.S.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citizen or individual resident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treated as a corporation for U.S. federal income tax purposes) organized in or under the laws of the United States, any state thereof or the District of Columbia;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that is subject to the supervision of a court within the U.S. and the control of one or more U.S. persons or that has a valid election in effect under applicable U.S. Treasury Regulations to be treated as a U.S. person;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subject to U.S. federal income taxation regardless of its source.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Stockholder” is a beneficial owner of our common stock that is neither a U.S. Stockholder nor a partnership for U.S.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Any partner of a partnership holding shares of our common stock should consult its tax advisers with respect to the purchase, ownership and disposition of such shares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matters are very complicated and the tax consequences to an investor of an investment in shares of our common stock will depend on the facts of his, her or its particular situation.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as a Regulated Investment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elected to be treated, and intend to qualify each year, as a RIC. As a RIC, we generally will not have to pay corporate-level U.S. federal income taxes on any ordinary income or capital gains that we timely distribute to stockholders as distributions. To qualify as a RIC, we must, among other things, meet certain source-of-income and asset diversification requirements (as described below). In addition, in order to obtain RIC tax benefits, we must timely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distribute to stockholders, for each taxable year, at least 90% of our “investment company taxable income,” which is generally its ordinary income plus the excess of realized net short-term capital gains over realized net long-term capital losses (the “Annual Distribution Requirement”).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qualify as a RIC;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satisfy the Annual Distribution Requirement,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then we will not be subject to U.S. federal income tax on the portion of income we timely distribute (or are deemed to distribute) to stockholders. We will be subject to U.S. federal income tax at the regular corporate rates on any income or capital gains not distributed (or deemed distributed) to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 subject to a 4% nondeductible U.S. federal excise tax on certain undistributed income unless we distribute in a timely manner an amount at least equal to the sum of (i) 98% of net ordinary income for each calendar year, (ii) 98.2% of capital gain net income (adjusted for certain ordinary losses) for the one-year period ending October 31 in that calendar year and (iii) any net ordinary income and capital gain net income that we recognized in preceding years, but were not distributed during such years, and on which we paid no U.S. federal income tax (the “Excise Tax Avoidance Requirement”). While we intend to distribute any net ordinary income and capital gain net income in order to avoid imposition of this 4% U.S. federal excise tax, we may not be successful in avoiding entirely the imposition of this tax. In that case, we will be liable for the tax only on the amount by which we do not meet the foregoing distribution requirement.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qualify as a RIC for U.S. federal income tax purposes, we must,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continue to qualify as a BDC under the 1940 Act at all times during each taxable year;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derive in each taxable year at least 90% of gross income from dividends, interest, payments with respect to loans of certain securities, gains from the sale of stock or other securities or foreign currencies, net income from certain “qualified publicly traded partnerships,” or other income derived with respect to the business of investing in such stock or securities (the “90% Income Test”);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diversify our holdings so that at the end of each quarter of the taxable year:</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more than 25% of the value of our assets is invested in the (i) securities, other than U.S. government securities or securities of other RICs, of one issuer, (ii) securities, other than securities of other RICs, of two or more issuers that are controlled, as determined under applicable Code rules, by us and that are engaged in the same or similar or related trades or businesses or (iii) securities of one or more “qualified publicly traded partnerships” (the “Diversification Tests”).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required to recognize taxable income in circumstances in which we do not receive cash. For example, if we hold debt obligations that are treated under applicable tax rules as having original issue discount (such as debt instruments with payment-in-kind, or PIK,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PIK interest and deferred loan origination fees that are paid after origination of the loan. Because any original issue discount or other amounts accrued will be included in our investment company taxable income for the year of accrual, we may be required to make a distribution to stockholders in order to satisfy the Annual Distribution Requirement, even though we will not have received the corresponding cash amount.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do not presently expect to do so, we are authorized to borrow funds, to sell assets and to make taxable distributions of our stock and debt securities in order to satisfy distribution requirements. Our ability to dispose of assets to meet distribution requirements may be limited by (i) the illiquid nature of our portfolio and/or (ii)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 If we are unable to obtain cash from other sources to satisfy the Annual Distribution Requirement, we may fail to maintain our qualification for tax treatment as a RIC and become subject to U.S. federal income tax as an ordinary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1940 Act, we are not permitted to make distributions to our stockholders while debt obligations and other senior securities are outstanding unless certain “asset coverage” tests are met. In addition, we may be prohibited under the terms of our credit facilities from making distributions unless certain conditions are satisfied. If we are prohibited from making distributions, we may fail to qualify for tax treatment as a RIC and become subject to U.S. federal income tax as an ordinary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income and fees that we may recognize, such as fees for providing managerial assistance, certain fees earned with respect to our investments, income recognized in a work-out or restructuring of a portfolio investment, or income recognized from an equity investment in an operating partnership, will not satisfy the 90% Income Test.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portfolio company in which we invest may face financial difficulties that require us to work-out, modify or otherwise restructure our investment in the portfolio company. Any such transaction could, depending upon the specific terms of the transaction, result in unusable capital losses and future non-cash income. Any such transaction could also result in our receiving assets that give rise to income that is not qualifying income for purposes of the 90% Income Test.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 (vi) adversely alter the characterization of certain complex financial transactions; and (vii) produce income that will not be qualifying income for purposes of the 90% Income Test described above. We will monitor our transactions and may make certain tax decisions in order to mitigate the potential adverse effect of these provisions.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RIC is limited in its ability to deduct expenses in excess of its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U.S. federal income tax purposes, have aggregate taxable income for several years that we are required to distribute and that is taxable to stockholders even if such income is greater than the aggregate net income we actually earned during those years. Such required distributions may be made from cash assets or by liquidation of investments, if necessary. We may realize gains or losses from such liquidations. In the event we realize net capital gains from such transactions, a stockholder may receive a larger capital gain distribution than it would have received in the absence of such transactions.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 received from sources within foreign countries, or capital gains earned by investing in securities of foreign issuers, may be subject to foreign income taxes withheld at the source. In this regard, withholding tax rates in countries with which the United States does not have a tax treaty can be as high as 35% or more. The United States has entered into tax treaties with many foreign countries that may entitle us to a reduced rate of tax or exemption from tax on this related income and gains. The effective rate of foreign tax cannot be determined at this time since the amount of our assets to be invested within various countries is not now known. We do not anticipate being eligible for the special election that allows a RIC to treat foreign income taxes paid by such RIC as paid by its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purchase shares in a “passive foreign investment company,” or PFIC, we may be subject to U.S. federal income tax on a portion of any “excess distribution” or gain from the disposition of such shares. Additional charges in the nature of interest may be imposed on us in respect of deferred taxes arising from such distributions or gains. This additional tax and interest may apply even if we make a distribution in an amount equal to any “excess distribution” or gain from the disposition of such shares as a taxable dividend by us to our shareholders. If we invest in a PFIC and elect to treat the PFIC as a “qualified electing fund” under the Code, or QEF, in lieu of the foregoing requirements, we will be required to include in income each year a portion of the ordinary earnings and net capital gain of the QEF, even if such income is not distributed to us. Alternatively, we can elect to mark-to-market at the end of each taxable year our shares in a PFIC; in this case, we will recognize as ordinary income any increase in the value of such shares and as ordinary loss any decrease in such value to the extent it does not exceed prior increases included in income. Under either election, we may be required to recognize in a year income in excess of our distributions from PFICs and our proceeds from dispositions of PFIC stock during that year, and such income will nevertheless be subject to the Annual Distribution Requirement and will be taken into account for purposes of the 4% U.S. federal excise tax.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inclusions from a QEF will be “good income” for purposes of the 90% Income Test provided that they are derived in connection with our business of investing in stocks and securities or the QEF distributes such income to us in the same taxable year to which the income is included in our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gains and losses realized by us in connection with certain transactions involving nondollar debt securities, certain foreign currency futures contracts, foreign currency option contracts, foreign currency forward contracts, foreign currencies, or payables or receivables denominated in a foreign currency are subject to Code provisions that generally treat such gains and losses as ordinary income and losses and may affect the amount, timing and character of distributions to our stockholders. Any such transactions that are not directly related to our investment in securities (possibly including speculative currency positions or currency derivatives not used for hedging purposes) could, under future Treasury regulations, produce income not among the types of “good income” from which a RIC must derive at least 90% Income Test.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Qualify as a RIC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were unable to qualify for treatment as a RIC, we would be subject to U.S. federal income tax on such income at regular corporate rates (and also would be subject to any applicable state and local taxes), regardless of whether we make any distributions to stockholders. We would not be able to deduct distributions to stockholders, nor would distributions be required to be made. Distributions, including distributions of net long-term capital gain, would generally be taxable to stockholders as ordinary dividend income to the extent of our current and accumulated earnings and profits. Subject to certain limitations under the Code, corporate stockholders would be eligible to claim a dividend received deduction with respect to such dividend; non-corporate stockholders would generally be able to treat such distributions as “qualified dividend income,” which is subject to reduced rates of U.S. federal income tax. Distributions in excess of current and accumulated earnings and profits would be treated first as a return of capital to the extent of the stockholder’s adjusted tax basis, and any remaining distributions would be treated as a capital gain. In order to requalify as a RIC, in addition to the other requirements discussed above, we would be required to distribute all previously undistributed earnings attributable to the period we failed to qualify as a RIC by the end of the first year that we intend to requalify as a RIC. If we fail to requalify as a RIC for a period greater than two taxable years, we may be subject to U.S. federal income tax at regular corporate rates on any net built-in gains with respect to certain assets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the excess of the aggregate gains, including items of income, over aggregate losses that would have been realized with respect to such assets if we had been liquidated) that we elect to recognize on requalification or when recognized over the next five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remainder of this discussion assumes that we qualify as a RIC for each taxable year.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U.S.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Distributions by us generally are taxable to U.S. Stockholders as ordinary income or capital gains. Distributions of “investment company taxable income” (which is, generally, net ordinary income plus realized net short-term capital gains in excess of realized net long-term capital losses) will be taxable as ordinary income to U.S. Stockholders to the extent of our current or accumulated earnings and profits, whether paid in cash or reinvested in additional shares of our common stock. To the extent such distributions paid by us to non-corporate stockholders are attributable to dividends from U.S. corporations and certain qualified foreign corporations, such distributions (“Qualifying Dividends”) may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 eligible for a current maximum tax rate of 20%. In this regard, it is anticipated that distributions paid by us should not be attributable to dividends and, therefore, generally will not qualify for the 20% maximum rate applicable to Qualifying Dividends. Distributions of net capital gains (which are generally our realized net long-term capital gains in excess of realized net short-term capital losses) properly reported by us as “capital gain dividends” will be taxable to a U.S. Stockholder as long-term capital gains that are currently taxable at a maximum rate of 20% in the case of stockholders taxed at individual rates, regardless of the U.S. Stockholder’s holding period for his, her or its shares of our common stock and regardless of whether paid in cash or reinvested in additional common stock. Distributions in excess of earnings and profits first will reduce a U.S. Stockholder’s adjusted tax basis in such stockholder’s shares of our common stock and, after the adjusted basis is reduced to zero, will constitute capital gains to such U.S.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distributions reported by us as Section 163(j) interest dividends may be treated as interest income by U.S. Stockholders for purposes of the tax rules applicable to interest expense limitations under Section 163(j) of the Code. Such treatment by U.S. Stockholders is generally subject to holding period requirements and other potential limitations, although the holding period requirements are generally not applicable to dividends declared by money market funds and certain other funds that declare dividends daily and pay such dividends on a monthly or more frequent basis. The amount that we are eligible to report as a Section 163(j) dividend for a tax year is generally limited to the excess of our business interest income over the sum of our (i) business interest expense and (ii) other deductions properly allocable to our business interest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retain some or all of our realized net long-term capital gains in excess of realized net short-term capital losses, but designate the retained net capital gain as a “deemed distribution.” In that case, among other consequences, we will pay U.S. federal income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If the amount of tax that a U.S. Stockholder is treated as having paid exceeds the tax such stockholder owes on the capital gain distribution, such excess generally may be refunded or claimed as a credit against the U.S. Stockholder’s other U.S. federal income tax obligations. The amount of the deemed distribution net of such tax will be added to the U.S. Stockholder’s adjusted tax basis for his, her or its shares of our common stock. In order to utilize the deemed distribution approach, we must provide written notice to stockholders prior to the expiration of 60 days after the close of the relevant taxable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certain applicable Treasury regulations and a revenue procedure issued by the IRS, a RIC may treat a distribution of its own stock as fulfilling its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 Taxable stockholders receiving such distributions will be required to include the full amount of the dividend as ordinary income (or as long-term capital gain or qualified dividend income to the extent such distribution is properly reported as such) to the extent of our current and accumulated earnings and profits for U.S. federal income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receiving distributions in the form of our common stock, a U.S. stockholder may be required to pay U.S. federal income tax with respect to such distributions in excess of any cash received. If a U.S. stockholder sells the stock such stockholder receives as a dividend in order to pay this tax, the sales proceeds may be less than the amount included in income with respect to the dividend, depending on the market price of our stock at the time of the sale. In addition, if a significant number of our stockholders determine to sell shares of our stock in order to pay U.S. federal income taxes owed on distributions, it may put downward pressure on the trading price of shares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have no currently have no intention of paying dividends in shares of our stock, we could in the future choose to pay a portion of our dividends in shares of our common stock in accordance with these Treasury regulations and the revenue procedure in order to satisfy the Annual Distribution Requirement or the Excise Tax Avoidance Requirement or to eliminate our liability for corporate-level U.S. federal income tax.</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determining (i) whether the Annual Distribution Requirement is satisfied for any year and (ii)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our stockholders of record on a specified date in such a month and actually paid during January of the following year, will be treated as if it had been received by our U.S. Stockholders on December 31 of the year in which the dividend was declared.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reinvestment of distributions policy, if a U.S. Stockholder owns shares of our common stock registered in its own name, the U.S. Stockholder will have all cash distributions automatically reinvested in additional shares of our common stock if the U.S. Stockholder does not “opt out” of the reinvestment of distributions by delivering a written notice to us prior to the record date of the next dividend or distribution. Any distributions reinvested will nevertheless remain taxable to the U.S. Stockholder. The U.S. Stockholder will have an adjusted tax basis in the additional shares of our common stock purchased through the reinvestment equal to the amount of the reinvested distribution. The additional shares of our common stock will have a new holding period commencing on the day following the day on which the shares of our common stock are credited to the U.S. Stockholder’s account.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investor purchases shares of our common stock shortly before the record date of a distribution, the price of the shares of our common stock will include the value of the distribution. However, the stockholder will be taxed on the distribution as described above, despite the fact that, economically, it may represent a return of his, her or its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Stockholder generally will recognize taxable gain or loss if the U.S. Stockholder sells or otherwise disposes of his, her or its shares of our common stock. The amount of gain or loss will be measured by the difference between such U.S. Stockholder’s adjusted tax basis in shares of our common stock sold and the amount of the proceeds received in exchange. Any gain arising from such sale or disposition generally will be treated as long-term capital gain or loss if the U.S. Stockholder has held his, her or its shares of our common stock for more than one year. Otherwise, it will be classified as short-term capital gain or loss. However, any capital loss arising from the sale or disposition of shares held for six months or less will be treated as long-term capital loss to the extent of the amount of capital gain dividends received, or undistributed capital gain deemed received, with respect to such shares of our common stock. In addition, all or a portion of any loss recognized upon a disposition of shares of our common stock may be disallowed if other shares of our common stock are purchased (whether through reinvestment of distributions or otherwise) within 30 days before or after the disposition.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U.S. Stockholders taxed at individual rates currently are subject to a maximum U.S. federal income tax rate of 20% on their recognized net capital gain (i.e., the excess of recognized net long-term capital gains over recognized net short-term capital losses, subject to certain adjustments), including any long-term capital gain derived from an investment in shares of our common stock. Such rate is lower than the maximum rate on ordinary income currently payable by such U.S. Stockholders. In addition, individuals with modified adjusted gross incomes in excess of $200,000 ($250,000 in the case of married individuals filing jointly) and certain estates and trusts are subject to an additional 3.8% tax on their “net investment income,” which generally includes gross income from interest, dividends, annuities, royalties, and rents, and net capital gains (other than certain amounts earned from trades or businesses), reduced by certain deductions allocable to such income. Corporate U.S. Stockholders currently are subject to U.S. federal income tax on net capital gain at the maximum 21% rate also applied to ordinary income. Non-corporate U.S. Stockholders with net capital losses for a year (i.e., capital losses in excess of capital gains) generally may deduct up to $3,000 of such losses against their ordinary income each year. Any net capital losses of a non-corporate U.S. Stockholder in excess of $3,000 generally may be carried forward and used in subsequent years as provided in the Code. Corporate U.S. Stockholders generally may not deduct any net capital losses for a year, but may carry back such losses for three years or carry forward such losses for five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Code requires reporting of adjusted cost basis information for covered securities, which generally include shares of a RIC, to the IRS and to taxpayers. Stockholders should contact their financial intermediaries with respect to reporting of cost basis and available elections for their accounts.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applicable Treasury regulations, if a U.S. Stockholder recognizes a loss with respect to shares of our common stock of $2 million or more for a non-corporate U.S. Stockholder in any single taxable year (or a $4 million loss over a combination of years) or $10 million or more for a corporate U.S. Stockholder in any single taxable year (or a $20 million loss over a combination of years), the U.S. Stockholder must file with the IRS a disclosure statement on Form 8886. Direct 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U.S. Stockholders should consult their own tax advisers to determine the applicability of these regulations in light of their individual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 the applicable withholding agent) will send to each of its U.S. Stockholders, as promptly as possible after the end of each calendar year, a notice reporting the amounts includible in such U.S. Stockholder’s taxable income for such year as ordinary income and as long-term capital gain. In addition, the U.S. federal tax status of each year’s distributions generally will be reported to the IRS (including the amount of distributions, if any, eligible for the 20% maximum rate). Distributions paid by us generally will not be eligible for the dividends-received deduction or the preferential tax rate applicable to Qualifying Dividends because our income generally will not consist of dividends. Distributions may also be subject to additional state, local and foreign taxes depending on a U.S. Stockholder’s particular situation.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 the applicable withholding agent) may be required to withhold U.S. federal income tax (“backup withholding”) from all distributions to certain U.S. Stockholders (i) who fail to furnish us with a correct taxpayer identification number or a certificate that such stockholder is exempt from backup withholding or (ii) with respect to whom the IRS notifies us that such stockholder furnished an incorrect taxpayer identification number or failed to properly report certain interest and dividend income to the IRS and to respond to notices to that effect. An individual’s taxpayer identification number generally is his or her social security number. Any amount withheld under backup withholding is allowed as a credit against the U.S. Stockholder’s U.S. federal income tax liability, provided that proper information is provided to the IRS.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Tax-Exempt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Stockholder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Stockholder of the activities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generally should not be subject to U.S. taxation solely as a result of the stockholder’s ownership of our common stock and receipt of distributions with respect to such common stock. Moreover, under current law, if we incur indebtedness, such indebtedness will not be attributed to a tax-exempt U.S. Stockholder. Therefore, a tax-exempt U.S. Stockholder should not be treated as earning income from “debt-financed property” and distributions we pay should not be treated as “unrelated debt-financed income” solely as a result of indebtedness that we incur. Legislation has been introduced in Congress in the past, and may be introduced again in the future, which would change the treatment of “blocker” investment vehicles interposed between tax-exempt investors and non-qualifying investments if enacted. In the event that any such proposals were to be adopted and applied to RICs, the treatment of distributions payable to tax-exempt investors could be adversely affected. In addition, special rules would apply if we were to invest in certain real estate mortgage investment conduits or taxable mortgage pools, which we do not currently plan to do, that could result in a tax-exempt U.S. Stockholder recognizing income that would be treated as UBTI.</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Non-U.S.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only applies to certain Non-U.S. Stockholders. Whether an investment in the shares of our common stock is appropriate for a Non-U.S. Stockholder will depend upon that person’s particular circumstances. An investment in the shares of our common stock by a Non-U.S. Stockholder may have adverse tax consequences. Non-U.S. Stockholders should consult their tax advisers before investing in our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of our “investment company taxable income” to Non-U.S. Stockholders (including interest income and realized net short-term capital gains in excess of realized long-term capital losses) will be subject to withholding of U.S. federal tax at a 30% rate (or lower rate provided by an applicable treaty) to the extent of our current and accumulated earnings and profits unless an applicable exception applies. No withholding is required with respect to certain distributions if (i) the distributions are properly reported by us as “interest-related dividends” or “short-term capital gain dividends,” (ii) the distributions are derived from sources specified in the Code for such dividends and (iii) certain other requirements are satisfied. No assurance can be provided as to whether any of our distributions will be reported as eligible for this exemption.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Actual or deemed distributions of net capital gains to a Non-U.S. Stockholder, and gains realized by a Non-U.S. Stockholder upon the sale of our common stock, will generally not be subject to federal withholding tax and generally will not be subject to U.S. federal income tax unless the distributions or gains, as the case may be, are effectively connected with a U.S. trade or business of the Non-U.S.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reinvestment of distributions policy, if a Non-U.S. Stockholder owns shares of our common stock registered in its own name, the Non-U.S. Stockholder will have all cash distributions automatically reinvested in additional shares of our common stock if such stockholder does not “opt out” of the reinvestment of distributions policy by delivering a written notice to us prior to the record date of the next dividend or distribution. If the distribution is a distribution of our investment company taxable income, is not reported as a short-term capital gains dividend or interest-related dividend and it is not effectively connected with a U.S. trade or business of the Non-U.S. Stockholder (or, if required by an applicable income tax treaty, is not attributable to a U.S. permanent establishment of the Non-U.S. Stockholder), the amount distributed (to the extent of current or accumulated earnings and profits) will be subject to withholding of U.S. federal income tax at a 30% rate (or lower rate provided by an applicable treaty) and only the net after-tax amount will be reinvested in our common stock. The Non-U.S. Stockholder will have an adjusted tax basis in the additional shares of our common stock purchased through the reinvestment equal to the amount reinvested. The additional shares of our common stock will have a new holding period commencing on the day following the day on which the shares of our common stock are credited to the Non-U.S. Stockholder’s account.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consequences to Non-U.S. Stockholders entitled to claim the benefits of an applicable tax treaty or that are individuals that are present in the U.S. for 183 days or more during a taxable year may be different from those described herein. Non-U.S. Stockholders are urged to consult their tax advisers with respect to the procedure for claiming the benefit of a lower treaty rate and the applicability of foreign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distribute net capital gains in the form of deemed rather than actual distributions, a Non-U.S. Stockholder will be entitled to a U.S. federal income tax credit or tax refund equal to the stockholder’s allocable share of the tax we pay on the capital gains deemed to have been distributed. In order to obtain the refund, the Non-U.S. Stockholder must obtain a U.S. taxpayer identification number and file a refund claim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to a U.S. trade or business may, under certain circumstances, be subject to an additional “branch profits tax” at a 30% rate (or at a lower rate if provided for by an applicable treaty). Accordingly, investment in the shares of our common stock may not be advisable for a Non-U.S.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must generally report to Non-U.S. Stockholders and the IRS the amount of distributions paid during each calendar year and the amount of any tax withheld. Information reporting requirements may apply even if no withholding was required because the distributions were effectively connected with the Non-U.S. Stockholder’s conduct of a United States trade or business or withholding was reduced or eliminated by an applicable income tax treaty. This information also may be made available under a specific treaty or agreement with the tax authorities in the country in which the Non-U.S. Stockholder resides or is established. Under U.S. federal income tax law, interest, dividends and other reportable payments may, under certain circumstances, be subject to “backup withholding” at the then applicable rate. Backup withholding, however, generally will not apply to distributions to a Non-U.S. Stockholder of our common stock, provided the Non-U.S. Stockholder furnishes to us the required certification as to its non-U.S. status, such as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providing a valid IRS Form W-8BEN, IRS Form W-8BEN-E, or IRS Form W-8ECI, or certain other requirements are met. Backup withholding is not an additional tax but can be credited against a Non-U.S. Stockholder’s U.S. federal income tax, and may be refunded to the extent it results in an overpayment of tax and the appropriate information is timely supplied to the 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Non-U.S. Stockholders should consult their own tax advisers with respect to the U.S. federal income tax and withholding tax, and state, local and foreign tax consequences of an investment in the shares of our common stock.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Account Tax Compliance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related laws or regulations. The types of income subject to the tax include U.S. source interest and dividends. While the Code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that is a specified U.S. person and certain transaction activity within the holder’s account. In addition, subject to certain exceptions, this legislation also imposes a 30% withholding on certain payments to certain foreign entities that are not financial institutions unless the foreign entity certifies that it does not have a greater than 10% owner that is a specified U.S. person or provides the withholding agent with identifying information on each greater than 10% owner that is a specified U.S. person. Depending on the status of a beneficial owner and the status of the intermediaries through which they hold their shares of our common stock, beneficial owners could be subject to this 30% withholding tax with respect to distributions on their shares of our common stock. Under certain circumstances, a beneficial owner might be eligible for refunds or credits of such taxes.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9920"/>
      <w:bookmarkEnd w:id="35"/>
      <w:r>
        <w:rPr>
          <w:rFonts w:ascii="Times New Roman PS Std;serif" w:hAnsi="Times New Roman PS Std;serif"/>
          <w:b/>
          <w:i w:val="false"/>
          <w:caps w:val="false"/>
          <w:smallCaps w:val="false"/>
          <w:sz w:val="20"/>
        </w:rPr>
        <w:t xml:space="preserve">DESCRIPTION OF OUR CAPITAL STOCK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description is based on relevant portions of the Maryland General Corporation Law (the “MGCL”) and on our Articles of Amendment and Restatement (the “Charter”) and our Bylaws (“Bylaws”). This summary may not contain all of the information that is important to you, and we refer you to the MGCL and our Charter and Bylaws for a more detailed description of the provisions summarized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our Charter, our authorized capital stock consists of 200,000,000 shares of common stock, par value $0.001 per share, and no shares of preferred stock, par value $0.001 per share. There are no outstanding options or warrants to purchase our stock. Under Maryland law, our stockholders generally are not personally liable for our debts or obligations. Under our Charter, the Board is authorized to classify and reclassify any unissued shares of stock into other classes or series of stock and authorize the issuance of the shares of stock without obtaining stockholder approval. As permitted by the MGCL, our Charter provides that the Board, without any action by our stockholders, may amend the Charter from time to time to increase or decrease the aggregate number of shares of stock or the number of shares of stock of any class or series that we have authority to issue.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presents our outstanding classes of securities as of June 30, 2025:</w:t>
      </w:r>
    </w:p>
    <w:tbl>
      <w:tblPr>
        <w:tblW w:w="7087" w:type="dxa"/>
        <w:jc w:val="left"/>
        <w:tblInd w:w="0" w:type="dxa"/>
        <w:tblLayout w:type="fixed"/>
        <w:tblCellMar>
          <w:top w:w="0" w:type="dxa"/>
          <w:left w:w="0" w:type="dxa"/>
          <w:bottom w:w="0" w:type="dxa"/>
          <w:right w:w="0" w:type="dxa"/>
        </w:tblCellMar>
      </w:tblPr>
      <w:tblGrid>
        <w:gridCol w:w="1606"/>
        <w:gridCol w:w="146"/>
        <w:gridCol w:w="1366"/>
        <w:gridCol w:w="146"/>
        <w:gridCol w:w="1816"/>
        <w:gridCol w:w="146"/>
        <w:gridCol w:w="1861"/>
      </w:tblGrid>
      <w:tr>
        <w:trPr/>
        <w:tc>
          <w:tcPr>
            <w:tcW w:w="16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 of Class</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Authorized</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 Held by</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Us or for Our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Account</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Outstanding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Exclusive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Amount Held by</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Us or for Our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Account</w:t>
            </w:r>
          </w:p>
        </w:tc>
      </w:tr>
      <w:tr>
        <w:trPr/>
        <w:tc>
          <w:tcPr>
            <w:tcW w:w="1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200,000,000</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69,574,146</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shares of our common stock will have equal rights as to earnings, assets, voting, and distributions and other distributions and, when they are issued, will be duly authorized, validly issued, fully paid and nonassessable. Distributions may be paid to the holders of our common stock if, as and when authorized by the Board and declared by us out of funds legally available therefor. The shares of our common stock have no preemptive, exchange,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share of our common stock is entitled to one vote on all matters submitted to a vote of stockholders, including the election of directors. Except as provided with respect to any other class or series of stock, the holders of our common stock possess exclusive voting power.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authorizes the Board to classify and reclassify any unissued shares of stock into other classes or series of stock, including preferred stock. The cost of any such reclassification would be borne by our existing common stockholders. Prior to issuance of shares of each class or series, the Board is required by Maryland law and by our Charter to set the terms, preferences, conversion or other rights, voting powers, restrictions, limitations as to distributions or other distributions, qualifications and terms or conditions of redemption for each class or series. Thus, the Board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Any issuance of preferred stock must comply with the requirements of the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1940 Act limits our flexibility as to certain rights and preferences of the preferred stock that our Charter may provide and requires, among other things, that (1) immediately after issuance and before any dividend or other distribution is made with respect to our common stock and before any purchase of common stock is made,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together with all other senior securities must not exceed an amount equal to 66 2∕3% of our total assets after deducting the amount of such dividend, distribution or purchase price, as the case may be, and (2) the holders of shares of preferred stock, if any are issued, must be entitled as a class to elect two directors at all times and to elect a majority of the directors if and so long as distributions on such preferred stock are in arrears by two full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 However, we do not currently have any plans to issue 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any preferred stock must be approved by a majority of the independent directors not otherwise interested in the transaction, who will have access, at our expense, to our legal counsel or to independent legal counsel.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 on Liability of Directors and Officers; Indemnification and Advance of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Our Bylaws also provide that, to the maximum extent permitted by Maryland law, with the approval of the Board and provided that certain conditions described in our Bylaws are met, we may pay certain expenses incurred by any such indemnified person in advance of the final disposition of a proceeding upon receipt of an undertaking by or on behalf of such indemnified person to repay amounts we have so paid if it is ultimately determined that indemnification of such expenses is not authorized under our Bylaws.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indemnification agreements with our directors and executive officers. The indemnification agreements provide our directors and executive officers the maximum indemnification permitted under Maryland law and the 1940 Act as of the date of such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insurance policy does not currently provide coverage for claims, liabilities and expenses that may arise out of activities that our present or former directors or officers have performed for another entity at our request. There is no assurance that such entities will in fact carry such insurance. However, we note that we do not expect to request our present or former directors or officers to serve another entity as a director, officer, partner or trustee unless we can obtain insurance providing coverage for such persons for any claims, liabilities or expenses that may arise out of their activities while serving in such capacities.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Provisions of the MGCL and Our Charter and Bylaws; Anti-Takeover Measures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MGCL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the Board. We believe that the benefits of these provisions outweigh the potential disadvantages of discouraging any such acquisition proposals because, among other things, the negotiation of such proposals may improve their terms.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Classified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is currently classified as it is divided into three classes of directors serving staggered three-year terms in which directors of each class are elected to serve for three-year terms with one class of directors elected by stockholders each year. However, commencing as of the date of our 2027 Annual Meeting of Stockholders (the “2027 Annual Meeting”), the Board will cease to be classified and will be de-classified. As a result, the class of directors that stood for election at our 2024 Annual Meeting of Stockholders stood for election for three-year terms, the class of directors that stood for election at our 2025 Annual Meeting of Stockholders stood for election for two-year terms, and the class of directors standing for election at our 2026 Annual Meeting of Stockholders will stand for election for one-year terms, in each case expiring at the 2027 Annual Meeting. Commencing with the 2027 Annual Meeting, the directors elected at the 2027 Annual Meeting (and each meeting thereafter) will be elected for a term expiring at the next Annual Meeting of Stockholders. In all cases, each director will hold office until his or her successor has been elected and qualified or until such director’s earlier death, retirement, resignation or removal.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Election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and Bylaws provide that, subject to the special rights of the holders of any class or series of preferred stock to elect directors, each director is elected by a majority of the votes cast with respect to such director’s election, except in the case of a “contested election” (as defined in our Bylaws), in which directors are elected by a plurality of the votes cast in the contested election of directors. There is no cumulative voting in the election of directors. Pursuant to our Charter, the Board may amend the Bylaws to alter the vote required to elect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Number of Directors; Vacancies; Removal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Charter provides that the number of directors will be set by the Board in accordance with our Bylaws. Our Bylaws provide that a majority of our entire Board may at any time increase or decrease the number of directors. However, unless our Bylaws are amended, the number of directors may never be less the minimum number required by the MGCL or greater than eleven. Our Charter provides that, at such time as we have at least three independent directors and our common stock is registered under the Exchange Act, we elect to be subject to the provision of Subtitle 8 of Title 3 of the MGCL regarding the filling of vacancies on the Board. Accordingly, at such time, except as may be provided by the Board in setting the terms of any class or series of preferred stock, any and all vacancies on the Board may be filled only by the affirmative vote of a majority of the remaining directors in office, even if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provides that a director may be removed only for cause, as defined in our Charter, and then only by the affirmative vote of at least three-fourths of the votes entitled to be cast in the election of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Action by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MGCL, stockholder action can be taken only at an annual or special meeting of stockholders or by unanimous written consent in lieu of a meeting (unless the charter provides for stockholder action by less than unanimous written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Advance Notice Provisions for Stockholder Nominations and Stockholder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provide that with respect to an annual meeting of stockholders, nominations of persons for election to the Board and the proposal of business to be considered by stockholders may be made only (1) pursuant to our notice of the meeting, (2) by the Board or (3) by a stockholder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at a special meeting may be made only (1) pursuant to our notice of the meeting, (2) by the Board or (3) provided that the Board has determined that directors will be elected at the meeting, by a stockholder who is entitled to vote at the meeting and who has complied with the advance notice provisions of the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requiring stockholders to give us advance notice of nominations and other business is to afford the Board a meaningful opportunity to consider the qualifications of the proposed nominees and the advisability of any other proposed business and, to the extent deemed necessary or desirable by the Board, to inform stockholders and make recommendations about such qualifications or business, as well as to provide a more orderly procedure for conducting meetings of stockholders. Although our Bylaws do not give the Board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third-party from conducting a solicitation of proxies to elect its own slate of directors or to approve its own proposal without regard to whether consideration of such nominees or proposals might be harmful or beneficial to us and our stockholders.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Calling of Special Meetings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provide that special meetings of stockholders may be called by the Board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Approval of Extraordinary Corporate Action; Amendment of Charter and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any proposal for our conversion, whether by charter amendment, merger or otherwise, from a closed-end company to an open-end company and any proposal for our liquidation or dissolution requires the approval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stockholders entitled to cast at least 80% of the votes entitled to be cast on such matter. However, if such amendment or proposal is approved by 75% or more of our continuing directors (in addition to approval by the Board), such amendment or proposal may be approved by a majority of the votes entitled to be cast on such a matter.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“continuing directors” are defined in our Charter as (1) our current directors, (2) those directors whose nomination for election by the stockholders or whose election by the directors to fill vacancies is approved by a majority of our current directors then on the Board or (3) any successor directors whose nomination for election by the stockholders or whose election by the directors to fill vacancies is approved by a majority of continuing directors or the successor continuing directors then in office.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and Bylaws provide that the Board will have the exclusive power to adopt, alter, amend or repeal any provision of our Bylaws and to make new Bylaws.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 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with respect to appraisal rights arising in connection with the Control Share Acquisition Act discussed below, as permitted by the MGCL, our Charter provides that stockholders will not be entitled to exercise appraisal rights unless a majority of the Board determines such rights apply.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Control Share Acquisitions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MGCL provides that control shares of a Maryland corporation acquired in a control share acquisition have no voting rights except to the extent approved by a vote of two-thirds of the votes entitled to be cast on the matter (the “Control Share Acquisition Act”).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one-tenth or more but less than one-third;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one-third or more but less than a majority;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majority or more of all voting power.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Control Share Acquisition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Acquisition Act any and all acquisitions by any person of our shares of stock. Accordingly, we have opted-out of the Control Share Acquisition Act. We can offer no assurance that such provision will not be amended or eliminated at any time in the future. However, we will amend our bylaws to be subject to the Control Share Acquisition Act only if the Board determines that it would be in our best interests, including in light of the Board’s fiduciary obligations, applicable federal and state laws, and the particular facts and circumstances surrounding the Board’s decision.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Combinations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Maryland law, “business combinations” between a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beneficially owns 10% or more of the voting power of the corporation’s outstanding voting stock;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affiliate or associate of the corporation who, at any time within the two-year period prior to the date in question, was the beneficial owner of 10% or more of the voting power of the then outstanding voting stock of the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five-year prohibition, any business combination between the corporation and an interested stockholder generally must be recommended by the board of directors of the corporation and approved by the affirmative vote of at least: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80% of the votes entitled to be cast by holders of outstanding shares of voting stock of the corporation;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statute permits various exemptions from its provisions, including business combinations that are exempted by the board of directors before the time that the interested stockholder becomes an interested stockholder. The Board has adopted a resolution that any business combination between us and any other person is exempted from the provisions of the Business Combination Act, provided that the business combination is first approved by the Board, including a majority of the directors who are not interested persons as defined in the 1940 Act. This resolution may be altered or repealed in whole or in part at any time. However, the Board will adopt resolutions so as to make us subject to the provisions of the Business Combination Act only if the Board determines that it would be in our best interests and if the SEC staff does not object to our determination that our being subject to the Business Combination Act does not conflict with the 1940 Act. If this resolution is repealed, or the Board does not otherwise approve a business combination, the statute may discourage others from trying to acquire control of us and increase the difficulty of consummating any offer.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Conflict with the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provide that, if and to the extent that any provision of the MGCL,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Exclusive Forum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require that, unless we consent in writing to the selection of an alternative forum, the Circuit Court for Baltimore City (or, if that Court does not have jurisdiction, the United States District Court for the District of Maryland, Northern Division) shall be the sole and exclusive forum for (i) any derivative action or proceeding brought on behalf of the Company (ii) any action asserting a claim of breach of any standard of conduct or legal duty owed by any of the Company’s director, officer or other agent to the Company or to its stockholders, (iii) any action asserting a claim arising pursuant to any provision of the MGCL or the Charter or the Bylaws (as either may be amended from time to time), or (iv) any action asserting a claim governed by the internal affairs doctrine. This exclusive forum selection provision in our Bylaws does not apply to claims arising under the federal securities laws, including the Securities Act and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uncertainty as to whether a court would enforce such a provision, and investors cannot waive compliance with the federal securities laws and the rules and regulations thereunder. In addition, this provision may increase costs for stockholders in bringing a claim against us or our directors, officers or other agents. Any investor purchasing or otherwise acquiring our shares is deemed to have notice of and consented to the foregoing provision.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exclusive forum selection provision in our Bylaws may limit our stockholders’ ability to obtain a favorable judicial forum for disputes with us or our directors, officers or other agents, which may discourage lawsuits against us and such persons. It is also possible that, notwithstanding such exclusive forum selection provision, a court could rule that such provision is inapplicable or unenforceable.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August 2026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24, 2021, we issued and sold $125 million in aggregate principal amount of our 4.375% Notes due 2026 (the “August 2026 Notes”) under our shelf Registration Statement on Form N-2 (File No. 333-257818) previously filed with the SEC (the “2021 Registration Statement”), as supplemented by a preliminary prospectus supplement dated August 19, 2021, a final prospectus supplement dated August 19, 2021, and a pricing term sheet dated August 19,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August 2026 Notes were issued pursuant to an indenture, dated as of January 16, 2020, between the Company and U.S. Bank Trust Company, National Association (the “Trustee” and such indenture, the “Base Indenture”) and a Third Supplemental Indenture, dated as of August 24, 2021 (the “Third Supplemental Indenture” and together with the Base Indenture, the “August 2026 Notes Indenture”), between us and the Trustee. The August 2026 Notes mature on August 24, 2026, unless repurchased or redeemed in accordance with their terms prior to such date. The August 2026 Notes are redeemable, in whole or in part, at any time, or from time to time, at our option, at a redemption price equal to the greater of (1) 100% of the principal amount of the August 2026 Notes to be redeemed or (2) the sum of the present values of the remaining scheduled payments of principal and interest (exclusive of accrued and unpaid interest to the date of redemption) on the August 2026 Notes to be redeemed, discounted to the redemption date on a semi-annual basis (assuming a 360-day year consisting of twelve 30-day months) using the applicable treasury rate plus 50 basis points, plus, in each case, accrued and unpaid interest to the redemption date; provided, however, that if we redeem any August 2026 Notes on or after July 24, 2026, the redemption price for the August 2026 Notes will be equal to 100% of the principal amount of the August 2026 Notes to be redeemed, plus accrued and unpaid interest, if any, to, but excluding, the date of redemption. In addition, if a change of control repurchase event (as defined in the August 2026 Notes Indenture) occurs prior to the maturity date of the August 2026 Notes or our redemption of all outstanding August 2026 Notes, we will be required, subject to certain conditions, to make an offer to the holders thereof to repurchase for cash some or all of the August 2026 Notes at a repurchase price equal to 100% of the principal amount of the August 2026 Notes to be repurchased, plus accrued and unpaid interest, if any, to, but excluding, the date of repurchase.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August 2026 Notes bear interest at a fixed rate of 4.375% per year payable semiannually on February 15 and August 15 of each year, commencing on February 15, 2022. The August 2026 Notes are our direct, general unsecured obligations and rank pari passu, or equal in right of payment, with all of our existing and future unsecured indebtedness or other obligations that are not so subordinated.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December 2026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15, 2021, we issued and sold $75 million in aggregate principal amount of our 4.25% Notes due 2026 (the “December 2026 Notes”) under our 2021 Registration Statement, as supplemented by a preliminary prospectus supplement dated December 10, 2021, a final prospectus supplement dated December 10, 2021, and a pricing term sheet dated December 10, 2021.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December 2026 Notes were issued pursuant to the Base Indenture and a Fourth Supplemental Indenture, dated as of December 10, 2021 (the “Fourth Supplemental Indenture” and together with the Base Indenture, the “December 2026 Notes Indenture”), between us and the Trustee. The December 2026 Notes mature on December 15, 2026, unless repurchased or redeemed in accordance with their terms prior to such date. The December 2026 Notes are redeemable, in whole or in part, at any time, or from time to time, at our option, at a redemption price equal to the greater of (1) 100% of the principal amount of the December 2026 Notes to be redeemed or (2) the sum of the present values of the remaining scheduled payments of principal and interest (exclusive of accrued and unpaid interest to the date of redemption) on the December 2026 Notes to be redeemed, discounted to the redemption date on a semi-annual basis (assuming a 360-day year consisting of twelve 30-day months) using the applicable treasury rate plus 50 basis points, plus, in each case, accrued and unpaid interest to the redemption date; provided, however, that if we redeem any December 2026 Notes on or after November 15, 2026, the redemption price for the December 2026 Notes will be equal to 100% of the principal amount of the December 2026 Notes to be redeemed, plus accrued and unpaid interest, if any, to, but excluding, the date of redemption. In addition, if a change of control repurchase event (as defined in the December 2026 Notes Indenture) occurs prior to the maturity date of the December 2026 Notes or our redemption of all outstanding December 2026 Notes, we will be required, subject to certain conditions, to make an offer to the holders thereof to repurchase for cash some or all of the December 2026 Notes at a repurchase price equal to 100% of the principal amount of the December 2026 Notes to be repurchased, plus accrued and unpaid interest, if any, to, but excluding, the date of repurchase.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December 2026 Notes bear interest at a fixed rate of 4.25% per year payable semiannually on June 15 and December 15 of each year, commencing on June 15, 2022. The December 2026 Notes are our direct, general unsecured obligations and rank pari passu, or equal in right of payment, with all of our existing and future unsecured indebtedness or other obligations that are not so subordinated.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March 2029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28, 2024, we issued and sold $115 million in aggregate principal amount of our 7.875% Notes due 2029 (the “March 2029 Notes”) under our Registration Statement on Form N-2, initially filed with the SEC on December 8, 2023 and declared effective on February 7, 2024 (the “2024 Registration Statement”), as supplemented by a preliminary prospectus supplement dated March 25, 2024, a final prospectus supplement dated March 25, 2024, and a pricing term sheet dated March 25,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March 2029 Notes were issued pursuant to the Base Indenture and a Fifth Supplemental Indenture, dated as of March 28, 2024 (the “Fifth Supplemental Indenture” and together with the Base Indenture, the “March 2029 Notes Indenture”), between us and the Trustee. The March 2029 Notes mature on March 30, 2029, unless repurchased or redeemed in accordance with their terms prior to such date. The March 2029 Notes are redeemable, in whole or in part, at any time, or from time to time, at our option, after March 30, 2026, at a redemption price equal to 100% of the principal amount of the March 2029 Notes to be redeemed plus accrued and unpaid interest payments otherwise payable for the then-current quarterly interest period accrued to, but excluding, the date fixed for redemption. The March 2029 Notes are traded on Nasdaq under the symbol “TRINZ.”</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March 2029 Notes bear interest at a fixed rate of 7.875% per year payable quarterly on March 30, June 30, September 30 and December 30 of each year, commencing on June 30, 2024. The March 2029 Notes are our direct, general unsecured obligations and rank pari passu, or equal in right of payment, with all of our existing and future unsecured indebtedness or other obligations that are not so subordinated.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September 2029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19, 2024, we issued and sold $115 million in aggregate principal amount of our 7.875% Notes due 2029 (the “September 2029 Notes”) under our 2024 Registration Statement, as supplemented by a preliminary prospectus supplement dated July 16, 2024, a final prospectus supplement dated July 16, 2024, and a pricing term sheet dated July 16,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September 2029 Notes were issued pursuant to the Base Indenture and a Sixth Supplemental Indenture, dated as of July 19, 2024 (the “Sixth Supplemental Indenture” and together with the Base Indenture, the “September 2029 Notes Indenture”), between us and the Trustee. The September 2029 Notes mature on September 30, 2029, unless repurchased or redeemed in accordance with their terms prior to such date. The September 2029 Notes are redeemable, in whole or in part, at any time, or from time to time, at our option, on or after September 30, 2026, at a redemption price equal to 100% of the principal amount of the September 2029 Notes to be redeemed, plus accrued and unpaid interest payments otherwise payable for the then-current quarterly interest period accrued to, but excluding, the date fixed for redemption. The September 2029 Notes are traded on Nasdaq under the symbol “TRINI.”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September 2029 Notes bear interest at a fixed rate of 7.875% per year payable quarterly on March 30, June 30, September 30 and December 30 of each year, commencing on September 30, 2024. The September 2029 Notes are our direct, general unsecured obligations and rank pari passu, or equal in right of payment, with all of our existing and future unsecured indebtedness or other obligations that are not so subordinated.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Series A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29, 2024, the Company entered into a note purchase agreement (the “Note Purchase Agreement”) governing the issuance of (i) $55.5 million in aggregate principal amount of Series A Senior Notes, Tranche A, due October 29, 2027 (the “Series A 2027 Notes”), (ii) $73.0 million in aggregate principal amount of Series A Senior Notes, Tranche B, due October 29, 2028 (the “Series A 2028 Notes”) and (iii) $14.0 million in aggregate principal amount of Series A Senior Notes, Tranche C, due October 29, 2029 (the “Series A 2029 Notes” and, together with the Series A 2027 Notes and Series A 2028 Notes, collectively, the “Series A Notes”) to certain qualified institutional investors in a private placement.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Series A Notes were delivered and paid for on October 29, 2024, subject to certain customary closing conditions. The Series A 2027 Notes have a fixed interest rate of 7.54% per year, the Series A 2028 Notes have a fixed interest rate of 7.60% per year and the Series A 2029 Notes have a fixed interest rate of 7.66% per year, subject to a step up to the extent a Below Investment Grade Event (as defined in the Note Purchase Agreement) or a Secured Debt Ratio Event (as defined in the Note Purchase Agreement) occurs. The Series A 2027 Notes will mature on October 29, 2027, the Series A 2028 Notes will mature on October 29, 2028 and the Series A 2029 Notes will mature on October 29, 2029, unless redeemed, purchased or prepaid prior to such date by us in accordance with the terms of the Note Purchase Agreement. Interest on the Series A Notes is due semiannually in April and October of each year, beginning in April 2025. In addition, the Company is obligated to offer to repay the Series A Notes at par (plus accrued and unpaid interest to, but not including, the date of prepayment) if certain change in control events occur. Subject to the terms of the Note Purchase Agreement, the Company may redeem the Series A Notes in whole or in part at any time or from time to time at our option at par plus accrued interest to the prepayment date and, if the Series A 2027 Notes are redeemed on or before August 31, 2027, the Series A 2028 Notes are redeemed on or before August 31, 2028 or the Series A 2029 Notes are redeemed on or before August 1, 2029, a make-whole premium.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Series A Notes were offered in reliance on Section 4(a)(2) of the Securities Act. The Series A Notes have not been and will not be registered under the Securities Act or any state securities laws and, unless so registered, may not be offered or sold in the United States except pursuant to an exemption from, or in a transaction not subject to, the registration requirements of the Securities Act, as applicable.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ATM 2029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February 2025, the Company entered into an open market sale agreement (the “Sales Agreement”) with B. Riley Securities, Inc. (the “Sales Agent”), as sales agent and/or principal thereunder. Under the Sales Agreement, the Company may, but has no obligation to, issue and sell, from time to time, up to $100,000,000 aggregate principal amount of the March 2029 Notes (the “ATM March 2029 Notes”) and up to $100,000,000 aggregate principal amount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September 2029 Notes (the “ATM September 2029 Notes” and together with the ATM March 2029 Notes, the “ATM 2029 Notes”), in each case through the Sales Agent or to the Sale Agent, as principal for its own account. The ATM March 2029 Notes are treated as a single series with the existing March 2029 Notes and have the same terms as the existing March 2029 Notes (other than the issue date and issue price). The ATM September 2029 Notes are treated as a single series with the existing September 2029 Notes and have the same terms as the existing September 2029 Notes (other than the issue date and issue price).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July 2030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3, 2025, we issued and sold $125 million in aggregate principal amount of our 6.750% Notes due 2030 (the “July 2030 Notes”) under our 2024 Registration Statement, as supplemented by a preliminary prospectus supplement dated June 26, 2025, a final prospectus supplement dated June 26, 2025, and a pricing term sheet dated June 26,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July 2030 Notes were issued pursuant to the Base Indenture and a Seventh Supplemental Indenture, dated as of July 3, 2025 (the “Seventh Supplemental Indenture” and together with the Base Indenture, the “July 2030 Notes Indenture”), between us and the Trustee. The July 2030 Notes mature on July 3, 2030, unless repurchased or redeemed in accordance with their terms prior to such date. The July 3, 2030 Notes are redeemable, in whole or in part, at any time, or from time to time, at our option, prior to June 3, 2030, at a redemption price equal to the greater of (1) (a) the sum of the present values of the remaining scheduled payments of principal and interest thereon discounted to the redemption date (assuming the notes matured on June 3, 2030) on a semi-annual basis (assuming a 360-day year consisting of twelve 30-day months) at the Treasury Rate plus 50 basis points less (b) interest accrued to the date of redemption, or (2) 100% of the principal amount of the July 2030 Notes to be redeemed, plus, in either case accrued and unpaid interest thereon to the redemption date of the July 2030 Notes; provided, however, that if we redeem any July 2030 Notes on or after July 3, 2030, the redemption price for the July 2030 Notes will be equal to 100% of the principal amount of the July 2030 Notes to be redeemed, plus accrued and unpaid interest, if any, to, but excluding, the date of redemption. In addition, if a change of control repurchase event (as defined in the July 2030 Notes Indenture) occurs prior to the maturity date of the July 2030 Notes or our redemption of all outstanding July 2030 Notes, we will be required, subject to certain conditions, to make an offer to the holders thereof to repurchase for cash some or all of the July 2030 Notes at a repurchase price equal to 100% of the principal amount of the July 2030 Notes to be repurchased, plus accrued and unpaid interest, if any, to, but excluding, the date of repurchase.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July 2030 Notes bear interest at a fixed rate of 6.750% per year payable semiannually on January 3 and July 3 of each year, commencing on January 3, 2026. The July 2030 Notes are our direct, general unsecured obligations and rank pari passu, or equal in right of payment, with all of our existing and future unsecured indebtedness or other obligations that are not so subordinated.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9921"/>
      <w:bookmarkEnd w:id="36"/>
      <w:r>
        <w:rPr>
          <w:rFonts w:ascii="Times New Roman PS Std;serif" w:hAnsi="Times New Roman PS Std;serif"/>
          <w:b/>
          <w:i w:val="false"/>
          <w:caps w:val="false"/>
          <w:smallCaps w:val="false"/>
          <w:sz w:val="20"/>
        </w:rPr>
        <w:t xml:space="preserve">DESCRIPTION OF OUR PREFERRED STOCK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shares of common stock, our Charter authorizes the issuance of preferred stock.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Maryland law and by our Charter to set, subject to the express terms of any of our then outstanding classes or series of stock, the preferences, conversion or other rights, voting powers, restrictions, limitations as to dividends or other distributions, qualifications and terms or conditions of redemption for each class or series. Any such issuance must adhere to the requirements of the 1940 Act, Maryland law and any other limitations imposed by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1940 Act limits our flexibility as to certain rights and preferences of the preferred stock under our charter.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immediately after issuance and before any distribution is made with respect to common stock, we must meet a coverage ratio of total assets (less total liabilities other than indebtedness) to total indebtedness plus preferred stock, of at least 200% (or 150% if certain requirements are met);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features of the preferred stock are further limited by the requirements applicable to RICs under the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any class or series of preferred stock that we may issue, our Board will determine and the articles supplementary and the prospectus supplement relating to such class or series will describe: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designation and number of shares of such class or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rate and time at which, and the preferences and conditions under which, any dividends will be paid on shares of such class or series, as well as whether such dividends are participating or non-participating;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relating to convertibility or exchangeability of the shares of such class or series, including adjustments to the conversion price of such class or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rights and preferences, if any, of holders of shares of such class or series upon our liquidation, dissolution or winding up of our affairs;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voting powers, if any, of the holders of shares of such class or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relating to the redemption of the shares of such class or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limitations on our ability to pay dividends or make distributions on, or acquire or redeem, other securities while shares of such class or series are outstanding;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conditions or restrictions on our ability to issue additional shares of such class or series or other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a discussion of certain U.S. federal income tax considerations;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relative powers, preferences and participating, optional or special rights of shares of such class or series, and the qualifications, limitations or restrictions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shares of preferred stock that we may issue will be identical and of equal rank except as to the particular terms thereof that may be fixed by our Board, and all shares of each class or series of preferred stock will be identical and of equal rank except as to the dates from which dividends, if any, thereon will be cumulative.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7" w:name="T9922"/>
      <w:bookmarkEnd w:id="37"/>
      <w:r>
        <w:rPr>
          <w:rFonts w:ascii="Times New Roman PS Std;serif" w:hAnsi="Times New Roman PS Std;serif"/>
          <w:b/>
          <w:i w:val="false"/>
          <w:caps w:val="false"/>
          <w:smallCaps w:val="false"/>
          <w:sz w:val="20"/>
        </w:rPr>
        <w:t xml:space="preserve">DESCRIPTION OF OUR SUBSCRIPTION RIGHTS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applicable prospectus supplement would describe the following terms of subscription rights in respect of which this prospectus is being delivered: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period of time the offering would remain open (which shall be open a minimum number of days such that all record holders would be eligible to participate in the offering and shall not be open longer than 120 days);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title of such subscription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exercise price for such subscription rights (or method of calculation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ratio of the offering (which, in the case of transferable rights, will require a minimum of three shares to be held of record before a person is entitled to purchase an additional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such subscription rights issued to each stockholder;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to which such subscription rights are transferable and the market on which they may be traded if they are transferable;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a discussion of certain U.S. federal income tax considerations applicable to the issuance or exercise of such subscription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the right to exercise such subscription rights shall commence, and the date on which such right shall expire (subject to any extension);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to which such subscription rights include an over-subscription privilege with respect to unsubscribed securities and the terms of such over-subscription privilege;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termination right we may have in connection with such subscription rights offering;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terms of such subscription rights, including exercise, settlement and other procedures and limitations relating to the transfer and exercise of such subscription rights.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Exercise of Subscription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 s, to or through agents, underwriters or dealers or through a combination of such methods, as set forth in the applicable prospectus supplement.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Dilutive Effects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8" w:name="T9923"/>
      <w:bookmarkEnd w:id="38"/>
      <w:r>
        <w:rPr>
          <w:rFonts w:ascii="Times New Roman PS Std;serif" w:hAnsi="Times New Roman PS Std;serif"/>
          <w:b/>
          <w:i w:val="false"/>
          <w:caps w:val="false"/>
          <w:smallCaps w:val="false"/>
          <w:sz w:val="20"/>
        </w:rPr>
        <w:t xml:space="preserve">DESCRIPTION OF OUR WARRANTS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general description of the terms of the warrants we may issue from time to time. Particular terms of any warrants we offer will be described in the prospectus supplement relating to such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prospectus supplement will describe the particular terms of any series of warrants we may issue,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title of such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aggregate number of such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price or prices at which such warrants will be issued;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currency or currencies, including composite currencies, in which the price of such warrants may be payable;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the designation and terms of the securities with which the warrants are issued and the number of warrants issued with each such security or each principal amount of such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the right to exercise such warrants shall commence and the date on which such right will expire;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such warrants will be issued in registered form or bearer form;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the minimum or maximum amount of such warrants which may be exercised at any one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the date on and after which such warrants and the related securities will be separately transferable;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information with respect to book-entry procedures, if 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of the securities issuable upon exercise of the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a discussion of certain U.S. federal income tax considerations;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terms of such warrants, including terms, procedures and limitations relating to the exchange and exercise of such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9" w:name="T9924"/>
      <w:bookmarkEnd w:id="39"/>
      <w:r>
        <w:rPr>
          <w:rFonts w:ascii="Times New Roman PS Std;serif" w:hAnsi="Times New Roman PS Std;serif"/>
          <w:b/>
          <w:i w:val="false"/>
          <w:caps w:val="false"/>
          <w:smallCaps w:val="false"/>
          <w:sz w:val="20"/>
        </w:rPr>
        <w:t xml:space="preserve">DESCRIPTION OF OUR DEBT SECURITIES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Second, the trustee performs certain administrative duties for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indenture with the SEC. We will file a supplemental indenture with the SEC in connection with any debt offering, at which time the supplemental indenture would be publicly available. See “Available Information” for information on how to obtain a copy of the applicable indenture.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supplement, which will accompany this prospectus, will describe the particular series of debt securities being offered, including,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designation or title of the series of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total principal amount of the series of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percentage of the principal amount at which the series of debt securities will be offered;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or dates on which principal will be payable;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rate or rates (which may be either fixed or variable) and/or the method of determining such rate or rates of interest, if 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or dates from which any interest will accrue, or the method of determining such date or dates, and the date or dates on which any interest will be payable;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any interest may be paid by issuing additional securities of the same series in lieu of cash (and the terms upon which any such interest may be paid by issuing additional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for redemption, extension or early repayment, if 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currencies in which the series of debt securities are issued and payable;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place or places, if any, other than or in addition to the Borough of Manhattan in the City of New York, of payment, transfer, conversion and/or exchange of the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denominations in which the offered debt securities will be issued (if other than $1,000 and any integral multiple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 for any sinking fund;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restrictive covenants;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Events of Default;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series of debt securities is issuable in certificated form;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for defeasance or covenant defeasance;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special U.S. federal income tax implications, including, if applicable, U.S. federal income tax considerations relating to original issue discount;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for convertibility or exchangeability of the debt securities into or for any other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debt securities are subject to subordination and the terms of such subordination;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debt securities are secured and the terms of any security interest;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listing, if any, on a securities exchange;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debt securities may be secured or unsecured obligations. Unless the prospectus supplement states otherwise, principal (and premium, if any) and interest, if any, will be paid by us in immediately available funds.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provisions of the 1940 Act, we, as a BDC, are permitted to issue debt only in amounts such that our asset coverage, as defined in the 1940 Act, equals at least 150% after each issuance of debt, but giving effect to any exemptive relief granted to us by the SEC. For a discussion of risks involved with incurring additional leverage, see “Risk Factors” in our annual, quarterly and other reports filed with the SEC from time to time. Unless the prospectus supplement states otherwise, principal (and premium, if any) and interest, if any, will be paid by us in immediately available funds.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prospectus, any reference to the payment of principal of, or premium or interest, if any, on, debt securities will include additional amounts if required by the terms of the debt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does not limit the amount of debt securities that may be issued thereunder from time to time.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described under “— Events of Default” and “— Merger or Consolidation” below, the indenture does not contain any provisions that give you protection in the event we issue a large amount of debt or we are acquired by another entity.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Conversion and Exchange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Issuance of Securities in Registered 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Book-Entry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Street Name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Special Considerations for Indirect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debt securities through a bank, broker or other financial institution, either in book-entry form or in street name, we urge you to check with that institution to find out: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how it handles securities payments and notices,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it imposes fees or charges,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how it would handle a request for the holders’ consent, if ever required,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and how you can instruct it to send you debt securities registered in your own name so you can be a holder, if that is permitted in the future for a particular series of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how it would exercise rights under the debt securities if there were a default or other event triggering the need for holders to act to protect their interests,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debt securities are in book-entry form, how the depositary’s rules and procedures will affect these matters.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Global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global security may not be transferred to or registered in the name of anyone other than the depositary or its nominee, unless special termination situations arise. We describe those situations below under “Special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Special Considerations for Global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debt securities are issued only in the form of a global security, an investor should be aware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cannot cause the debt securities to be registered in his or her name, and cannot obtain certificates for his or her interest in the debt securities, except in the special situations we describe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will be an indirect holder and must look to his or her own bank or broker for payments on the debt securities and protection of his or her legal rights relating to the debt securities, as we describe under “Issuance of Securities in Registered Form” above.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may not be able to sell interests in the debt securities to some insurance companies and other institutions that are required by law to own their securities in non-book-entry form.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redeem less than all the debt securities of a particular series being redeemed, DTC’s practice is to determine by lot the amount to be redeemed from each of its participants holding that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Termination of a Global Security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global security is terminated,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“Issuance of Securities in Registered Form”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 and Paying Agents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Payments on Global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Payments on Certificated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make payments on a certificated debt security as follows. We will pay interest that is due on an interest payment date to the holder of debt securities as shown on the trustee’s records as of the close of business on the regular record date at our office in New York, NY and/or at other offices that may be specified in the prospectus supplement. We will make all payments of principal and premium, if any, by check at the office of the applicable trustee in New York, NY and/or at other offices that may be specified in the prospectus supplement or in a notice to holders against surrender of the debt security.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Alternatively, at our option, we may pay any interest that becomes due on the debt security by mailing a check to the holder at his or her address shown on the trustee’s records as of the close of business on the regular record date or by transfer to an account at a bank in the United States, in either case, on the due date.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 When Offices Are Closed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Book-entry and other indirect holders should consult their banks or brokers for information on how they will receive payments on their debt securities.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Events of Default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have rights if an Event of Default occurs in respect of the debt securities of your series and is not cured, as described later in this subsection.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“Event of Default” in respect of the debt securities of your series means any of the following (unless the prospectus supplement relating to such debt securities states otherwise):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we default in the payment of any interest upon a debt securities of the series when due and payable and the default continues for a period of 30 days;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we default in the payment of the principal of (or premium, if any, on) a debt security of the series when it becomes due and payable at its maturity, including upon any redemption date or required repurchase date, and the default continues for a period of five days;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we fail for 60 consecutive days after written notice from the trustee or the holders of at least 25% in principal amount of the debt securities of the series then outstanding to us and the trustee, as applicable, has been received to comply with any of our other agreements with respect to debt securities of the series;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we file for bankruptcy or certain events of bankruptcy, insolvency, or reorganization involving us occur and remain undischarged or unstayed for a period of 60 days;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we do not deposit any sinking fund payment in respect of debt securities of the series on its due date, and do not cure this default within five days;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any other Event of Default in respect of debt securities of the series described in the applicable prospectus supplement occurs.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in good faith considers the withholding of notice to be in the interests of the holders.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Remedies If an Event of Default Occurs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Event of Default has occurred and has not been cured, the trustee or the holders of at least 25% in principal amount of the outstanding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indemnity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you are allowed to bypass your trustee and bring your own lawsuit or other formal legal action or take other steps to enforce your rights or protect your interests relating to the debt securities, the following must occur: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give your trustee written notice that an Event of Default with respect to the relevant series of debt securities has occurred and remains uncured.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holders of at least 25% in principal amount of all outstanding debt securities of the relevant series must make a written request that the trustee take action because of the default and must offer to the trustee security or indemnity satisfactory to it against the cost, expenses, and other liabilities of taking that 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trustee must not have taken action for 60 days after receipt of the above notice and offer of security or indemnity.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holders of a majority in principal amount of the debt securities of that series must not have given the trustee a direction inconsistent with the above notice during that 60-day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you are entitled at any time to bring a lawsuit for the payment of money due on your debt securities on or after the due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a majority in principal amount of the debt securities of the affected series may waive any past defaults other than a default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payment of principal, any premium, or interest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respect of a covenant that cannot be modified or amended without the consent of each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Book-entry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other indirect holders should consult their banks or brokers for information on how to give notice or direction to or make a request of the trustee and how to declare or cancel an acceleration of maturity.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year, we will furnish to each trustee a written statement of certain of our officers certifying that to their knowledge we are in compliance with the indenture and the debt securities or else specifying any default.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 Consolidation or Sale of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the prospectus supplement relating to certain debt securities states otherwise, the indenture will provide that we will not merge or consolidate with or into any other person (other than a merger of a wholly-owned subsidiary into us), or sell, transfer, lease, convey or otherwise dispose of all or substantially all our property (provided that, for the avoidance of doubt, a pledge of assets pursuant to any secured debt instrument of the Company or its subsidiaries shall not be deemed to be any such sale, transfer, lease, conveyance or disposition; and provided further that this covenant shall not apply to any sale, transfer, lease, conveyance, or other disposition of all or substantially all of the Company’s property to a wholly-owned subsidiary of the Company) in any one transaction or series of related transactions unless: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immediately before and immediately after giving effect to such transaction or series of related transactions, no default or Event of Default shall have occurred and be continuing;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Modification or Waiver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three types of changes we can make to the indenture and the debt securities issued thereunder.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Requiring Your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there are changes that we cannot make to your debt securities without your specific approval. The following is a list of those types of changes: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the stated maturity of the principal of or interest on the debt securities;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any amounts due on the debt securities;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amount of principal payable upon acceleration of the maturity of a security following a default;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adversely affect any right of repayment at the holder’s option;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the place (except as otherwise described in the prospectus or prospectus supplement) or currency of payment on a debt security;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impair your right to sue for payment;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adversely affect any right to convert or exchange a debt security in accordance with its terms;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modify the subordination provisions in the indenture in a manner that is adverse to outstanding holders of the debt securities;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percentage of holders of debt securities whose consent is needed to modify or amend the indenture;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percentage of holders of debt securities whose consent is needed to waive compliance with certain provisions of the indenture or to waive certain defaults;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modify certain of the provisions of the indenture dealing with supplemental indentures, modification and waiver of past defaults, changes to the quorum or voting requirements or the waiver of certain covenants;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any obligation we have to pay additional amounts.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Not Requiring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second type of change does not require any vote by the holders of the debt securities. This type is limited to clarifications, establishment of the form or terms of new securities of any series as permitted by the indenture, and certain changes that would not adversely affect the rights of holders of the outstanding debt securities in any material respect, including to:</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evidence the succession of any person to the Company and the assumption by any such successor of the covenants of the Company in the indenture and in the debt securities;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 any additional covenants of the Company or to surrender any right or power in the indenture conferred upon the Company;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 any additional events of default of the Company;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secure the debt securities;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evidence and provide for the acceptance of appointment under the indenture by a successor trustee with respect to the debt securities;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cure any ambiguity, to correct or supplement any provision in the indenture that may be inconsistent with any other provision therein; provided that such action shall not adversely affect the interests of the holders of the applicable outstanding debt securities in any material respect, in each case as determined in good faith by the Company, as evidenced by a certificate of an officer of the Company;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 guarantors or co-obligors with respect to the debt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do not need any approval to make any change that affects only debt securities to be issued under the indenture, as may be supplemented, after the change takes effect.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Requiring Majority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other change to the indenture and the debt securities would require the following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change affects only one series of debt securities, it must be approved by the holders of a majority in principal amount of that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 Changes Requiring Your Approval.”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Further Details Concerning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taking a vote, we will use the following rules to decide how much principal to attribute to a debt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original issue discount securities, we will use the principal amount that would be due and payable on the voting date if the maturity of these debt securities were accelerated to that date because of a default.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debt securities whose principal amount is not known (for example, because it is based on an index), we will use a special rule for that debt security described in the prospectus supplement.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debt securities denominated in one or more foreign currencies, we will use the U.S. dollar equivalent.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 — Full 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Book-entry and other indirect holders should consult their banks or brokers for information on how approval may be granted or denied if we seek to change the indenture or the debt securities or request a waiver.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Satisfaction and Discharge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satisfy and discharge our obligations under the indenture by delivering to the securities registrar for cancellation all debt securities of the series then outstanding or by depositing with the trustee, in trust, funds in U.S. dollars in an amount sufficient to pay all of the debt securities of the series then outstanding after such debt securities have become due and payable or will become due and payable within one year (or scheduled for redemption within one year). Such discharge is subject to terms contained in the indenture.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provisions will be applicable to each series of debt securities unless we state in the applicable prospectus supplement that the provisions of covenant defeasance and full defeasance will not be applicable to that series.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Covenant 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 Indenture Provisions — Subordination” below. In order to achieve covenant defeasance, we must do the following: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debt securities of a particular series are denominated in U.S. dollars, we must deposit in trust for the benefit of all holders of the debt securities of a particular series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debt securities of the particular series on their various due dates.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of our counsel confirming that, under current U.S. federal income tax law, we may make the above deposit without causing you to recognize income, gain or loss for U.S. federal income tax purposes as a result of such covenant defeasance or to be taxed on the debt securities any differently than if we did not make the deposit and repaid the debt securities at maturity.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and officers’ certificate stating that all conditions precedent to covenant defeasance have been complied with.</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Covenant defeasance must not result in a breach or violation of, or result in a default under, the indenture or any of our other material agreements or instruments.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default or Event of Default with respect to such debt securities and any coupons appertaining thereto shall have occurred and be continuing and no defaults or events of default related to bankruptcy, insolvency or reorganization shall occur during the next 90 days.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Satisfy the conditions for covenant defeasance contained in any supplemental indentures.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Legal 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a change in U.S. federal tax law or we obtain an IRS ruling, as described below, we can legally release ourselves from all payment and other obligations on the debt securities of a particular series (called “defeasance” or “legal defeasance”) if we put in place the following other arrangements for you to be repaid: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debt securities of a particular series are denominated in U.S. dollars, we must deposit in trust for the benefit of all holders of the debt securities of a particular series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debt securities of the particular series on their various due dates.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confirming that there has been a change in current U.S. federal tax law or an IRS ruling that allows us to make the above deposit without causing you to recognize income, gain, or loss for U.S. federal income tax purposes as a result of such defeasance or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and officers’ certificate stating that all conditions precedent to defeasance have been complied with.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Defeasance must not result in a breach or violation of, or result in a default under, the indenture or any of our other material agreements or instruments.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default or Event of Default with respect to such debt securities and any coupons appertaining thereto shall have occurred and be continuing and no defaults or events of default related to bankruptcy, insolvency or reorganization shall occur during the next 90 days.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Satisfy the conditions for covenant defeasance contained in any supplemental indentures.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ever accomplished legal defeasance, as described above, you would have to rely solely on the trust deposit for repayment of your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 — Subordination”.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Exchange and Transfer of Certificated Registered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registered debt securities cease to be issued in book-entry form, they will be issued: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only in fully registered certificated form,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without interest coupons,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unless we indicate otherwise in the prospectus supplement, in denominations of $1,000 and amounts that are multiples of $1,000.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may exchange their certificated securities, if any, for debt securities of smaller denominations or combined into fewer debt securities of larger denominations, as long as the total principal amount is not changed and as long as the denomination is greater than the minimum denomination for such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registered debt security is issued in book-entry form, only the depositary will be entitled to transfer and exchange the debt security as described in this subsection, since it will be the sole holder of the debt security.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Resignation of Trustee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Indenture Provisions — Subordination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Senior Indebtedness” is defined in the indenture as the principal of (and premium, if any) and unpaid interest 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renewals, extensions, modifications and refinancings of any of this indebtedness.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Secured Indebtedness and Ranking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 with respect to claims on the assets of any such subsidiaries, financing vehicles, or similar facilities.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Trustee under the Indenture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Bank Trust Company, National Association (successor in interest to U.S. Bank National Association) serves as the trustee under the indenture.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Considerations Relating To Foreign Currencies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Book-Entry Debt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specified in the applicable prospectus supplement, the debt securities will be issued in book-entry form, and the Depository Trust Company, or DTC, will act as securities depository for the debt securities. Unless otherwise specified in the applicable prospectus supplement, the debt securities will be issued as fully 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has advised us that it is: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limited purpose trust company organized under the laws of the State of New York;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“banking organization” within the meaning of the New York State Banking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member of the Federal Reserve System;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“clearing corporation” within the meaning of the Uniform Commercial Code;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“clearing agency” registered under Section 17A of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was created to hold securities for its participants and to facilitate the clearance and settlement of securities transactions between its participants through electronic book-entry changes to the accounts of its participants. DTC’s participants, or Direct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 notices shall be sent to DTC. If less than all of the debt securities within an issue are being redeemed, DTC’s practice is to determine by lot the amount of the interest of each Direct Participant in such issue to be redeemed.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 proceeds, distributions, and interest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in this section concerning DTC and DTC’s book-entry system has been obtained from sources that we believe to be reliable, but we take no responsibility for the accuracy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0" w:name="T9925"/>
      <w:bookmarkEnd w:id="40"/>
      <w:r>
        <w:rPr>
          <w:rFonts w:ascii="Times New Roman PS Std;serif" w:hAnsi="Times New Roman PS Std;serif"/>
          <w:b/>
          <w:i w:val="false"/>
          <w:caps w:val="false"/>
          <w:smallCaps w:val="false"/>
          <w:sz w:val="20"/>
        </w:rPr>
        <w:t xml:space="preserve">ISSUANCE OF OPTIONS, WARRANTS OR SECURITIES TO SUBSCRIBE FOR OR CONVERTIBLE </w:t>
        <w:br/>
        <w:t>INTO SHARES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our 2021 Annual Meeting of Stockholders held on June 17, 2021, our stockholders approved our ability to sell or otherwise issue options, warrants or rights to subscribe to, convert to, or purchase shares of our common stock, which may include convertible preferred stock and convertible debentures, under appropriate circumstances in connection with our capital raising and financing activities, subject to applicable restrictions under the 1940 Act (including, without limitation, that the number of shares issuable does not exceed 25% of our then-outstanding common stock and that the exercise or conversion price thereof is not, at the date of issuance, less than the market value per share of our common stock). Such authorization has no expiration. Any exercise of options, warrants or securities to subscribe for or convertible into shares of our common stock at an exercise or conversion price that is below net asset value at the time of such exercise or conversion would result in an immediate dilution to existing common stockholders. This dilution would include reduction in net asset value as a result of the proportionately greater decrease in the stockholders’ interest in our earnings and assets and their voting interest than the increase in our assets resulting from such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obtaining this authorization, in order to sell or otherwise issue options, warrants or securities to subscribe for or convertible into shares of our common stock, (a) the exercise or conversion feature of the options, warrants or rights must expire within 10 years of issuance; (b) with respect to such securities that are accompanied by other securities when issued, the securities cannot be separately transferable unless no class of such securities and the other securities that accompany them has been publicly distributed; (c) the exercise or conversion price for the options, warrants or rights must not be less than the current market value of the common stock at the date of the issuance of the options, warrants or rights; (d) a majority of our directors who are not “interested persons” of the Company as defined in the 1940 Act shall have approved each individual issuance of options, warrants or rights and determined that each such issuance is in the best interests of the Company and our stockholders; and (e) the number of shares of our common stock that would result from the exercise or conversion of such securities and all other securities convertible, exercisable or exchangeable into shares of our common stock outstanding at the time of issuance of such securities must not exceed 25% of our outstanding common stock at such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could also sell shares of our common stock below net asset value per share in certain other circumstances. See “Sales of Common Stock Below Net Asset Value.”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1" w:name="T9926"/>
      <w:bookmarkEnd w:id="41"/>
      <w:r>
        <w:rPr>
          <w:rFonts w:ascii="Times New Roman PS Std;serif" w:hAnsi="Times New Roman PS Std;serif"/>
          <w:b/>
          <w:i w:val="false"/>
          <w:caps w:val="false"/>
          <w:smallCaps w:val="false"/>
          <w:sz w:val="20"/>
        </w:rPr>
        <w:t xml:space="preserve">REGULATION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contained in “Part I, Item 1. Business” of our most recent Annual Report on Form 10-K is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2" w:name="T9927"/>
      <w:bookmarkEnd w:id="42"/>
      <w:r>
        <w:rPr>
          <w:rFonts w:ascii="Times New Roman PS Std;serif" w:hAnsi="Times New Roman PS Std;serif"/>
          <w:b/>
          <w:i w:val="false"/>
          <w:caps w:val="false"/>
          <w:smallCaps w:val="false"/>
          <w:sz w:val="20"/>
        </w:rPr>
        <w:t xml:space="preserve">PLAN OF DISTRIBUTION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Inc., or FINRA, or independent broker-dealer will not be greater than 10% of the gross proceeds of the sale of securities offered pursuant to this prospectus and any applicable prospectus supplement. We may also reimburse the underwriter or agent for certain fees and legal expenses incurred by 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specified in the applicable prospectus supplement, each class or series of securities will be a new issue with no trading market, other than our common stock, which is traded on the Nasdaq Global Select Market. We may elect to list any other class or series of securities on any exchanges, but we are not obligated to do so. We cannot guarantee the liquidity of the trading markets for any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comply with the securities laws of certain states, if applicable, the securities offered hereby will be sold in such jurisdictions only through registered or licensed brokers or dealers.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3" w:name="T9928"/>
      <w:bookmarkEnd w:id="43"/>
      <w:r>
        <w:rPr>
          <w:rFonts w:ascii="Times New Roman PS Std;serif" w:hAnsi="Times New Roman PS Std;serif"/>
          <w:b/>
          <w:i w:val="false"/>
          <w:caps w:val="false"/>
          <w:smallCaps w:val="false"/>
          <w:sz w:val="20"/>
        </w:rPr>
        <w:t xml:space="preserve">CUSTODIAN, TRANSFER AND DIVIDEND PAYING AGENT AND REGISTRAR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securities are held by our custodian, Wells Fargo Bank, National Association, under a custody agreement. The principal address of our custodian is: 600 S. 4th St., Minneapolis, Minnesota 55479. Equiniti Trust Company, LLC serves as our transfer agent, plan administrator, dividend paying agent and registrar. The principal business address of our transfer agent is 6201 15th Avenue, Brooklyn, NY 11219, telephone number: (718) 921-8200.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4" w:name="T9929"/>
      <w:bookmarkEnd w:id="44"/>
      <w:r>
        <w:rPr>
          <w:rFonts w:ascii="Times New Roman PS Std;serif" w:hAnsi="Times New Roman PS Std;serif"/>
          <w:b/>
          <w:i w:val="false"/>
          <w:caps w:val="false"/>
          <w:smallCaps w:val="false"/>
          <w:sz w:val="20"/>
        </w:rPr>
        <w:t xml:space="preserve">BROKERAGE ALLOCATION AND OTHER PRACTICES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we generally acquire and dispose of our investments in privately negotiated transactions, we infrequently use brokers in the normal course of our business. Our management team is primarily responsible for the execution of the publicly traded securities portion of our portfolio transactions and the allocation of brokerage commissions. We do not expect to execute transactions through any particular broker or dealer, but seek to obtain the best net results for us, taking into account such factors as price (including the applicable brokerage commission or dealer spread), size of order, difficulty of execution, and operational facilities of the firm and the firm’s risk and skill in positioning blocks of securities. While we generally seek reasonably competitive trade execution costs, we do not necessarily pay the lowest spread or commission available. Subject to applicable legal requirements, we may select a broker based partly upon brokerage or research services provided to us. In return for such services, we may pay a higher commission than other brokers would charge if we determine in good faith that such commission is reasonable in relation to the services provided.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5" w:name="T9930"/>
      <w:bookmarkEnd w:id="45"/>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securities offered hereby and certain legal matters for us in connection with the offering will be passed upon for us by Dechert LLP, Washington, DC.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legal matters in connection with the offering will be passed upon for the underwriters, if any, by the counsel named in the prospectus supplement.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6" w:name="T9931"/>
      <w:bookmarkEnd w:id="46"/>
      <w:r>
        <w:rPr>
          <w:rFonts w:ascii="Times New Roman PS Std;serif" w:hAnsi="Times New Roman PS Std;serif"/>
          <w:b/>
          <w:i w:val="false"/>
          <w:caps w:val="false"/>
          <w:smallCaps w:val="false"/>
          <w:sz w:val="20"/>
        </w:rPr>
        <w:t xml:space="preserve">INDEPENDENT REGISTERED PUBLIC ACCOUNTING FIRM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the Company as of December 31, 2024 and 2023, and for each of the three years in the period ended December 31, 2024, appearing in the Company’s Annual Report on Form 10-K for the year ended December 31, 2024 have been audited by Ernst &amp; Young LLP, an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address of Ernst &amp; Young LLP is 725 South Figueroa Street, Suite 500, Los Angeles, CA 90017.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7" w:name="T9932"/>
      <w:bookmarkEnd w:id="47"/>
      <w:r>
        <w:rPr>
          <w:rFonts w:ascii="Times New Roman PS Std;serif" w:hAnsi="Times New Roman PS Std;serif"/>
          <w:b/>
          <w:i w:val="false"/>
          <w:caps w:val="false"/>
          <w:smallCaps w:val="false"/>
          <w:sz w:val="20"/>
        </w:rPr>
        <w:t xml:space="preserve">AVAILABLE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file with or submit to the SEC periodic and current reports, proxy statements and other information meeting the informational requirements of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furnish our stockholders with annual reports containing audited financial statements, quarterly reports, and such other periodic reports as we determine to be appropriate or as may be required by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make available on our website </w:t>
      </w:r>
      <w:r>
        <w:rPr>
          <w:rFonts w:ascii="Times New Roman PS Std;serif" w:hAnsi="Times New Roman PS Std;serif"/>
          <w:b w:val="false"/>
          <w:i/>
          <w:caps w:val="false"/>
          <w:smallCaps w:val="false"/>
          <w:sz w:val="20"/>
        </w:rPr>
        <w:t>(www.trinitycap.com)</w:t>
      </w:r>
      <w:r>
        <w:rPr>
          <w:rFonts w:ascii="Times New Roman PS Std;serif" w:hAnsi="Times New Roman PS Std;serif"/>
          <w:b w:val="false"/>
          <w:i w:val="false"/>
          <w:caps w:val="false"/>
          <w:smallCaps w:val="false"/>
          <w:sz w:val="20"/>
        </w:rPr>
        <w:t xml:space="preserve"> our annual reports on Form 10-K, quarterly reports on Form 10-Q, our current reports on Form 8-K, our proxy statements and other information filed with the SEC. This information is available free of charge by contacting us at 1 N. 1st Street, Suite 302, Phoenix, Arizona 85004, calling us at (480) 374-5350 or visiting our corporate website. The SEC also maintains a website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that contains such information. The reference to our website is an inactive textual reference only and the information contained on our website is not a part of this registration statement.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8" w:name="T9933"/>
      <w:bookmarkEnd w:id="48"/>
      <w:r>
        <w:rPr>
          <w:rFonts w:ascii="Times New Roman PS Std;serif" w:hAnsi="Times New Roman PS Std;serif"/>
          <w:b/>
          <w:i w:val="false"/>
          <w:caps w:val="false"/>
          <w:smallCaps w:val="false"/>
          <w:sz w:val="20"/>
        </w:rPr>
        <w:t xml:space="preserve">INCORPORATION OF CERTAIN INFORMATION BY REFERENCE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that we have filed with the SEC. We are allowed to “incorporate by reference” the information that we file with the SEC, which means that we can disclose important information to you by referring you to such information incorporated by reference. The information incorporated by reference is considered to comprise a part of this prospectus from the date we file any such document. Any reports filed by us with the SEC subsequent to the date of this prospectus and before the date that any offering of any securities by means of this prospectus and any accompanying prospectus supplement, if any, is terminated will automatically update and, where applicable, supersede any information contained in this prospectus or incorporated by reference in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incorporate by reference into this prospectus our filings listed below and any future filings that we may file with the SEC under Sections 13(a), 13(c), 14 or 15(d) of the Exchange Act, subsequent to the date of this prospectus until all of the securities offered by this prospectus and any accompanying prospectus supplement, if any, have been sold or we otherwise terminate the offering of those securities; provided, however, that information “furnished” under Item 2.02 or Item 7.01 of Form 8-K or other information “furnished” to the SEC which is not deemed filed is not incorporated by reference in this prospectus and any accompanying prospectus supplement, if any. Information that we file with the SEC subsequent to the date of this prospectus will automatically update and may supersede information in this prospectus, any accompanying prospectus supplement, if any, and other information previously filed with the SEC.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incorporates by reference the documents set forth below that have been previously filed with the SEC:</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Annual Report on </w:t>
      </w:r>
      <w:hyperlink r:id="rId13">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fiscal year ended December 31, 2024, filed with the SEC on February 26, 2025;</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Annual Report on </w:t>
      </w:r>
      <w:hyperlink r:id="rId14">
        <w:r>
          <w:rPr>
            <w:rStyle w:val="InternetLink"/>
            <w:rFonts w:ascii="Times New Roman PS Std;serif" w:hAnsi="Times New Roman PS Std;serif"/>
            <w:b w:val="false"/>
            <w:i w:val="false"/>
            <w:caps w:val="false"/>
            <w:smallCaps w:val="false"/>
            <w:sz w:val="20"/>
          </w:rPr>
          <w:t>Form 10-K/A</w:t>
        </w:r>
      </w:hyperlink>
      <w:r>
        <w:rPr>
          <w:rFonts w:ascii="Times New Roman PS Std;serif" w:hAnsi="Times New Roman PS Std;serif"/>
          <w:b w:val="false"/>
          <w:i w:val="false"/>
          <w:caps w:val="false"/>
          <w:smallCaps w:val="false"/>
          <w:sz w:val="20"/>
        </w:rPr>
        <w:t xml:space="preserve"> for the fiscal year ended December 31, 2024, filed with the SEC on May 5, 2025;</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Definitive Proxy Statement on </w:t>
      </w:r>
      <w:hyperlink r:id="rId15">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filed with the SEC on May 1, 2025;</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Quarterly Report on </w:t>
      </w:r>
      <w:hyperlink r:id="rId16">
        <w:r>
          <w:rPr>
            <w:rStyle w:val="InternetLink"/>
            <w:rFonts w:ascii="Times New Roman PS Std;serif" w:hAnsi="Times New Roman PS Std;serif"/>
            <w:b w:val="false"/>
            <w:i w:val="false"/>
            <w:caps w:val="false"/>
            <w:smallCaps w:val="false"/>
            <w:sz w:val="20"/>
          </w:rPr>
          <w:t>Form 10-Q</w:t>
        </w:r>
      </w:hyperlink>
      <w:r>
        <w:rPr>
          <w:rFonts w:ascii="Times New Roman PS Std;serif" w:hAnsi="Times New Roman PS Std;serif"/>
          <w:b w:val="false"/>
          <w:i w:val="false"/>
          <w:caps w:val="false"/>
          <w:smallCaps w:val="false"/>
          <w:sz w:val="20"/>
        </w:rPr>
        <w:t xml:space="preserve"> for the fiscal quarter ended March 31, 2025, filed with the SEC on May 7, 2025;</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Quarterly Report on </w:t>
      </w:r>
      <w:hyperlink r:id="rId17">
        <w:r>
          <w:rPr>
            <w:rStyle w:val="InternetLink"/>
            <w:rFonts w:ascii="Times New Roman PS Std;serif" w:hAnsi="Times New Roman PS Std;serif"/>
            <w:b w:val="false"/>
            <w:i w:val="false"/>
            <w:caps w:val="false"/>
            <w:smallCaps w:val="false"/>
            <w:sz w:val="20"/>
          </w:rPr>
          <w:t>Form 10-Q</w:t>
        </w:r>
      </w:hyperlink>
      <w:r>
        <w:rPr>
          <w:rFonts w:ascii="Times New Roman PS Std;serif" w:hAnsi="Times New Roman PS Std;serif"/>
          <w:b w:val="false"/>
          <w:i w:val="false"/>
          <w:caps w:val="false"/>
          <w:smallCaps w:val="false"/>
          <w:sz w:val="20"/>
        </w:rPr>
        <w:t xml:space="preserve"> for the fiscal quarter ended June 30, 2025, filed with the SEC on August 6, 2025;</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Current Reports on Form 8-K (other than information furnished rather than filed) filed with the SEC on </w:t>
      </w:r>
      <w:hyperlink r:id="rId18">
        <w:r>
          <w:rPr>
            <w:rStyle w:val="InternetLink"/>
            <w:rFonts w:ascii="Times New Roman PS Std;serif" w:hAnsi="Times New Roman PS Std;serif"/>
            <w:b w:val="false"/>
            <w:i w:val="false"/>
            <w:caps w:val="false"/>
            <w:smallCaps w:val="false"/>
            <w:sz w:val="20"/>
          </w:rPr>
          <w:t>February 10, 2025</w:t>
        </w:r>
      </w:hyperlink>
      <w:r>
        <w:rPr>
          <w:rFonts w:ascii="Times New Roman PS Std;serif" w:hAnsi="Times New Roman PS Std;serif"/>
          <w:b w:val="false"/>
          <w:i w:val="false"/>
          <w:caps w:val="false"/>
          <w:smallCaps w:val="false"/>
          <w:sz w:val="20"/>
        </w:rPr>
        <w:t xml:space="preserve">, </w:t>
      </w:r>
      <w:hyperlink r:id="rId19">
        <w:r>
          <w:rPr>
            <w:rStyle w:val="InternetLink"/>
            <w:rFonts w:ascii="Times New Roman PS Std;serif" w:hAnsi="Times New Roman PS Std;serif"/>
            <w:b w:val="false"/>
            <w:i w:val="false"/>
            <w:caps w:val="false"/>
            <w:smallCaps w:val="false"/>
            <w:sz w:val="20"/>
          </w:rPr>
          <w:t>March 20, 2025</w:t>
        </w:r>
      </w:hyperlink>
      <w:r>
        <w:rPr>
          <w:rFonts w:ascii="Times New Roman PS Std;serif" w:hAnsi="Times New Roman PS Std;serif"/>
          <w:b w:val="false"/>
          <w:i w:val="false"/>
          <w:caps w:val="false"/>
          <w:smallCaps w:val="false"/>
          <w:sz w:val="20"/>
        </w:rPr>
        <w:t xml:space="preserve">, </w:t>
      </w:r>
      <w:hyperlink r:id="rId20">
        <w:r>
          <w:rPr>
            <w:rStyle w:val="InternetLink"/>
            <w:rFonts w:ascii="Times New Roman PS Std;serif" w:hAnsi="Times New Roman PS Std;serif"/>
            <w:b w:val="false"/>
            <w:i w:val="false"/>
            <w:caps w:val="false"/>
            <w:smallCaps w:val="false"/>
            <w:sz w:val="20"/>
          </w:rPr>
          <w:t>June 16, 2025</w:t>
        </w:r>
      </w:hyperlink>
      <w:r>
        <w:rPr>
          <w:rFonts w:ascii="Times New Roman PS Std;serif" w:hAnsi="Times New Roman PS Std;serif"/>
          <w:b w:val="false"/>
          <w:i w:val="false"/>
          <w:caps w:val="false"/>
          <w:smallCaps w:val="false"/>
          <w:sz w:val="20"/>
        </w:rPr>
        <w:t xml:space="preserve">, </w:t>
      </w:r>
      <w:hyperlink r:id="rId21">
        <w:r>
          <w:rPr>
            <w:rStyle w:val="InternetLink"/>
            <w:rFonts w:ascii="Times New Roman PS Std;serif" w:hAnsi="Times New Roman PS Std;serif"/>
            <w:b w:val="false"/>
            <w:i w:val="false"/>
            <w:caps w:val="false"/>
            <w:smallCaps w:val="false"/>
            <w:sz w:val="20"/>
          </w:rPr>
          <w:t>July 1, 2025</w:t>
        </w:r>
      </w:hyperlink>
      <w:r>
        <w:rPr>
          <w:rFonts w:ascii="Times New Roman PS Std;serif" w:hAnsi="Times New Roman PS Std;serif"/>
          <w:b w:val="false"/>
          <w:i w:val="false"/>
          <w:caps w:val="false"/>
          <w:smallCaps w:val="false"/>
          <w:sz w:val="20"/>
        </w:rPr>
        <w:t xml:space="preserve">, and </w:t>
      </w:r>
      <w:hyperlink r:id="rId22">
        <w:r>
          <w:rPr>
            <w:rStyle w:val="InternetLink"/>
            <w:rFonts w:ascii="Times New Roman PS Std;serif" w:hAnsi="Times New Roman PS Std;serif"/>
            <w:b w:val="false"/>
            <w:i w:val="false"/>
            <w:caps w:val="false"/>
            <w:smallCaps w:val="false"/>
            <w:sz w:val="20"/>
          </w:rPr>
          <w:t>July 3, 2025</w:t>
        </w:r>
      </w:hyperlink>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Common Stock referenced in our Registration Statement on </w:t>
      </w:r>
      <w:hyperlink r:id="rId23">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xml:space="preserve"> (No. 001-39958), as filed with the SEC on January 28, 2021, including any amendment or report filed for the purpose of updating such description prior to the termination of the offering of the common stock registered hereby.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“Available Information” for information on how to obtain a copy of these filings.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1000"/>
        <w:ind w:left="0" w:right="0" w:hanging="0"/>
        <w:jc w:val="center"/>
        <w:rPr>
          <w:caps w:val="false"/>
          <w:smallCaps w:val="false"/>
          <w:bdr w:val="double" w:sz="16" w:space="4" w:color="000000"/>
        </w:rPr>
      </w:pPr>
      <w:r>
        <w:rPr>
          <w:caps w:val="false"/>
          <w:smallCaps w:val="false"/>
          <w:bdr w:val="double" w:sz="16" w:space="4" w:color="000000"/>
        </w:rPr>
        <w:t>  </w:t>
      </w:r>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3248025" cy="7981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4"/>
                    <a:stretch>
                      <a:fillRect/>
                    </a:stretch>
                  </pic:blipFill>
                  <pic:spPr bwMode="auto">
                    <a:xfrm>
                      <a:off x="0" y="0"/>
                      <a:ext cx="3248025" cy="79819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TRINITY CAPITAL INC.</w:t>
      </w:r>
    </w:p>
    <w:p>
      <w:pPr>
        <w:pStyle w:val="TextBody"/>
        <w:keepNext w:val="true"/>
        <w:pageBreakBefore w:val="false"/>
        <w:widowControl/>
        <w:pBdr/>
        <w:bidi w:val="0"/>
        <w:spacing w:before="240" w:after="283"/>
        <w:ind w:left="0" w:right="150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4"/>
        </w:rPr>
        <w:t>$</w:t>
      </w:r>
      <w:r>
        <w:rPr>
          <w:rFonts w:ascii="Times New Roman PS Std;serif" w:hAnsi="Times New Roman PS Std;serif"/>
          <w:b/>
          <w:i w:val="false"/>
          <w:caps w:val="false"/>
          <w:smallCaps w:val="false"/>
          <w:sz w:val="20"/>
        </w:rPr>
        <w:t>                    </w:t>
      </w:r>
    </w:p>
    <w:p>
      <w:pPr>
        <w:pStyle w:val="TextBody"/>
        <w:keepNext w:val="true"/>
        <w:pageBreakBefore w:val="false"/>
        <w:widowControl/>
        <w:pBdr/>
        <w:bidi w:val="0"/>
        <w:spacing w:before="240" w:after="240"/>
        <w:jc w:val="center"/>
        <w:rPr>
          <w:caps w:val="false"/>
          <w:smallCaps w:val="false"/>
        </w:rPr>
      </w:pPr>
      <w:r>
        <w:rPr>
          <w:caps w:val="false"/>
          <w:smallCaps w:val="false"/>
        </w:rPr>
        <w:t>          </w:t>
      </w:r>
      <w:r>
        <w:rPr>
          <w:rFonts w:ascii="Times New Roman PS Std;serif" w:hAnsi="Times New Roman PS Std;serif"/>
          <w:b/>
          <w:i w:val="false"/>
          <w:caps w:val="false"/>
          <w:smallCaps w:val="false"/>
          <w:sz w:val="24"/>
        </w:rPr>
        <w:t>% Notes due</w:t>
      </w:r>
    </w:p>
    <w:p>
      <w:pPr>
        <w:pStyle w:val="TextBody"/>
        <w:keepNext w:val="true"/>
        <w:pageBreakBefore w:val="false"/>
        <w:widowControl/>
        <w:pBdr/>
        <w:bidi w:val="0"/>
        <w:spacing w:before="8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PRELIMINARY PROSPECTUS SUPPLEMENT</w:t>
      </w:r>
    </w:p>
    <w:p>
      <w:pPr>
        <w:pStyle w:val="TextBody"/>
        <w:keepNext w:val="true"/>
        <w:pageBreakBefore w:val="false"/>
        <w:widowControl/>
        <w:pBdr/>
        <w:bidi w:val="0"/>
        <w:spacing w:before="80" w:after="11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________________________________________________</w:t>
      </w:r>
    </w:p>
    <w:tbl>
      <w:tblPr>
        <w:tblW w:w="9740" w:type="dxa"/>
        <w:jc w:val="left"/>
        <w:tblInd w:w="0" w:type="dxa"/>
        <w:tblLayout w:type="fixed"/>
        <w:tblCellMar>
          <w:top w:w="0" w:type="dxa"/>
          <w:left w:w="0" w:type="dxa"/>
          <w:bottom w:w="0" w:type="dxa"/>
          <w:right w:w="0" w:type="dxa"/>
        </w:tblCellMar>
      </w:tblPr>
      <w:tblGrid>
        <w:gridCol w:w="4201"/>
        <w:gridCol w:w="146"/>
        <w:gridCol w:w="146"/>
        <w:gridCol w:w="146"/>
        <w:gridCol w:w="5101"/>
      </w:tblGrid>
      <w:tr>
        <w:trPr/>
        <w:tc>
          <w:tcPr>
            <w:tcW w:w="9740" w:type="dxa"/>
            <w:gridSpan w:val="5"/>
            <w:tcBorders/>
          </w:tcPr>
          <w:p>
            <w:pPr>
              <w:pStyle w:val="TableContents"/>
              <w:keepNext w:val="true"/>
              <w:widowControl/>
              <w:pBdr/>
              <w:bidi w:val="0"/>
              <w:spacing w:before="2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Joint Book-Running Managers</w:t>
            </w:r>
          </w:p>
        </w:tc>
      </w:tr>
      <w:tr>
        <w:trPr/>
        <w:tc>
          <w:tcPr>
            <w:tcW w:w="4201" w:type="dxa"/>
            <w:tcBorders/>
          </w:tcPr>
          <w:p>
            <w:pPr>
              <w:pStyle w:val="TableContents"/>
              <w:keepNext w:val="false"/>
              <w:widowControl/>
              <w:pBdr/>
              <w:bidi w:val="0"/>
              <w:spacing w:before="160" w:after="283"/>
              <w:ind w:left="340" w:right="0" w:hanging="200"/>
              <w:jc w:val="righ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8"/>
              </w:rPr>
              <w:t>Keefe, Bruyette &amp; Woods</w:t>
              <w:br/>
            </w:r>
            <w:r>
              <w:rPr>
                <w:rFonts w:ascii="Times New Roman PS Std;serif" w:hAnsi="Times New Roman PS Std;serif"/>
                <w:b w:val="false"/>
                <w:i/>
                <w:caps w:val="false"/>
                <w:smallCaps w:val="false"/>
                <w:sz w:val="28"/>
              </w:rPr>
              <w:t>A Stifel Company</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101" w:type="dxa"/>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MUFG Securities Americas Inc.</w:t>
            </w:r>
          </w:p>
        </w:tc>
      </w:tr>
    </w:tbl>
    <w:p>
      <w:pPr>
        <w:pStyle w:val="TextBody"/>
        <w:keepNext w:val="false"/>
        <w:pageBreakBefore w:val="false"/>
        <w:widowControl/>
        <w:pBdr/>
        <w:bidi w:val="0"/>
        <w:spacing w:before="160" w:after="280"/>
        <w:ind w:left="960" w:right="0" w:hanging="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 2026</w:t>
      </w:r>
    </w:p>
    <w:p>
      <w:pPr>
        <w:pStyle w:val="TextBody"/>
        <w:keepNext w:val="false"/>
        <w:pageBreakBefore w:val="false"/>
        <w:widowControl/>
        <w:pBdr/>
        <w:bidi w:val="0"/>
        <w:spacing w:before="80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786108/000119312526068600/trin-20251231.htm" TargetMode="External"/><Relationship Id="rId4" Type="http://schemas.openxmlformats.org/officeDocument/2006/relationships/hyperlink" Target="http://www.sec.gov/ix?doc=/Archives/edgar/data/1786108/000114036126017966/edge20066696x1_def14a.htm" TargetMode="External"/><Relationship Id="rId5" Type="http://schemas.openxmlformats.org/officeDocument/2006/relationships/hyperlink" Target="http://www.sec.gov/Archives/edgar/data/1786108/000119312526207620/trin-20260331.htm" TargetMode="External"/><Relationship Id="rId6" Type="http://schemas.openxmlformats.org/officeDocument/2006/relationships/hyperlink" Target="http://www.sec.gov/Archives/edgar/data/1786108/000119312526333907/trin-20260630.htm" TargetMode="External"/><Relationship Id="rId7" Type="http://schemas.openxmlformats.org/officeDocument/2006/relationships/hyperlink" Target="http://www.sec.gov/ix?doc=/Archives/edgar/data/1786108/000121390026053385/ea0289489-01_8k.htm" TargetMode="External"/><Relationship Id="rId8" Type="http://schemas.openxmlformats.org/officeDocument/2006/relationships/hyperlink" Target="http://www.sec.gov/Archives/edgar/data/1786108/000121390026053385/ea0289489-01_8k.htm" TargetMode="External"/><Relationship Id="rId9" Type="http://schemas.openxmlformats.org/officeDocument/2006/relationships/hyperlink" Target="http://www.sec.gov/Archives/edgar/data/1786108/000121390026060069/ea0291805-01_8k.htm" TargetMode="External"/><Relationship Id="rId10" Type="http://schemas.openxmlformats.org/officeDocument/2006/relationships/hyperlink" Target="http://www.sec.gov/Archives/edgar/data/1786108/000119312526269551/trin-20260610.htm" TargetMode="External"/><Relationship Id="rId11" Type="http://schemas.openxmlformats.org/officeDocument/2006/relationships/hyperlink" Target="http://www.sec.gov/Archives/edgar/data/1786108/000119312526303247/trin-20260714.htm" TargetMode="External"/><Relationship Id="rId12" Type="http://schemas.openxmlformats.org/officeDocument/2006/relationships/image" Target="media/image1.jpeg"/><Relationship Id="rId13" Type="http://schemas.openxmlformats.org/officeDocument/2006/relationships/hyperlink" Target="http://www.sec.gov/Archives/edgar/data/1786108/000095017025027341/trin-20241231.htm" TargetMode="External"/><Relationship Id="rId14" Type="http://schemas.openxmlformats.org/officeDocument/2006/relationships/hyperlink" Target="http://www.sec.gov/Archives/edgar/data/1786108/000121390025039771/ea0240862-10ka1_trinity.htm" TargetMode="External"/><Relationship Id="rId15" Type="http://schemas.openxmlformats.org/officeDocument/2006/relationships/hyperlink" Target="http://www.sec.gov/Archives/edgar/data/1786108/000121390025037775/ea0240128-01_def14a.htm" TargetMode="External"/><Relationship Id="rId16" Type="http://schemas.openxmlformats.org/officeDocument/2006/relationships/hyperlink" Target="http://www.sec.gov/Archives/edgar/data/1786108/000095017025065028/trin-20250331.htm" TargetMode="External"/><Relationship Id="rId17" Type="http://schemas.openxmlformats.org/officeDocument/2006/relationships/hyperlink" Target="http://www.sec.gov/Archives/edgar/data/1786108/000095017025103547/trin-20250630.htm" TargetMode="External"/><Relationship Id="rId18" Type="http://schemas.openxmlformats.org/officeDocument/2006/relationships/hyperlink" Target="http://www.sec.gov/Archives/edgar/data/1786108/000121390025011796/ea0230438-01_8k.htm" TargetMode="External"/><Relationship Id="rId19" Type="http://schemas.openxmlformats.org/officeDocument/2006/relationships/hyperlink" Target="http://www.sec.gov/Archives/edgar/data/1786108/000121390025025605/ea0235063-01_8k.htm" TargetMode="External"/><Relationship Id="rId20" Type="http://schemas.openxmlformats.org/officeDocument/2006/relationships/hyperlink" Target="http://www.sec.gov/Archives/edgar/data/1786108/000121390025054831/ea0245896-01_8k.htm" TargetMode="External"/><Relationship Id="rId21" Type="http://schemas.openxmlformats.org/officeDocument/2006/relationships/hyperlink" Target="http://www.sec.gov/Archives/edgar/data/1786108/000121390025060418/ea0247782-01_8k.htm" TargetMode="External"/><Relationship Id="rId22" Type="http://schemas.openxmlformats.org/officeDocument/2006/relationships/hyperlink" Target="http://www.sec.gov/Archives/edgar/data/1786108/000121390025061484/ea0248131-01_8k.htm" TargetMode="External"/><Relationship Id="rId23" Type="http://schemas.openxmlformats.org/officeDocument/2006/relationships/hyperlink" Target="http://www.sec.gov/Archives/edgar/data/1786108/000110465921008513/tm214389d1_8a12b.htm" TargetMode="External"/><Relationship Id="rId24" Type="http://schemas.openxmlformats.org/officeDocument/2006/relationships/image" Target="media/image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153</Pages>
  <Words>83129</Words>
  <Characters>431392</Characters>
  <CharactersWithSpaces>524879</CharactersWithSpaces>
  <Paragraphs>21029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