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307359-01_8k.htm"/>
      <w:bookmarkStart w:id="1" w:name="ksea030735901_8k"/>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TRINITY CAPITAL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40"/>
        <w:gridCol w:w="90"/>
        <w:gridCol w:w="2240"/>
        <w:gridCol w:w="90"/>
        <w:gridCol w:w="1595"/>
      </w:tblGrid>
      <w:tr>
        <w:trPr/>
        <w:tc>
          <w:tcPr>
            <w:tcW w:w="2240" w:type="dxa"/>
            <w:tcBorders>
              <w:bottom w:val="single" w:sz="8" w:space="0" w:color="000000"/>
            </w:tcBorders>
            <w:vAlign w:val="center"/>
          </w:tcPr>
          <w:p>
            <w:pPr>
              <w:pStyle w:val="TableContents"/>
              <w:bidi w:val="0"/>
              <w:spacing w:before="0" w:after="283"/>
              <w:jc w:val="center"/>
              <w:rPr>
                <w:b/>
                <w:sz w:val="20"/>
              </w:rPr>
            </w:pPr>
            <w:r>
              <w:rPr>
                <w:b/>
                <w:sz w:val="20"/>
              </w:rPr>
              <w:t>Maryland</w:t>
            </w:r>
          </w:p>
        </w:tc>
        <w:tc>
          <w:tcPr>
            <w:tcW w:w="90" w:type="dxa"/>
            <w:tcBorders/>
            <w:tcMar>
              <w:bottom w:w="0" w:type="dxa"/>
            </w:tcMar>
            <w:vAlign w:val="center"/>
          </w:tcPr>
          <w:p>
            <w:pPr>
              <w:pStyle w:val="TableContents"/>
              <w:bidi w:val="0"/>
              <w:spacing w:before="0" w:after="283"/>
              <w:jc w:val="left"/>
              <w:rPr/>
            </w:pPr>
            <w:r>
              <w:rPr/>
              <w:t> </w:t>
            </w:r>
          </w:p>
        </w:tc>
        <w:tc>
          <w:tcPr>
            <w:tcW w:w="2240" w:type="dxa"/>
            <w:tcBorders>
              <w:bottom w:val="single" w:sz="8" w:space="0" w:color="000000"/>
            </w:tcBorders>
            <w:vAlign w:val="center"/>
          </w:tcPr>
          <w:p>
            <w:pPr>
              <w:pStyle w:val="TableContents"/>
              <w:bidi w:val="0"/>
              <w:spacing w:before="0" w:after="283"/>
              <w:jc w:val="center"/>
              <w:rPr>
                <w:b/>
                <w:sz w:val="20"/>
              </w:rPr>
            </w:pPr>
            <w:r>
              <w:rPr>
                <w:b/>
                <w:sz w:val="20"/>
              </w:rPr>
              <w:t>001-39958</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8" w:space="0" w:color="000000"/>
            </w:tcBorders>
            <w:vAlign w:val="center"/>
          </w:tcPr>
          <w:p>
            <w:pPr>
              <w:pStyle w:val="TableContents"/>
              <w:bidi w:val="0"/>
              <w:spacing w:before="0" w:after="283"/>
              <w:jc w:val="center"/>
              <w:rPr>
                <w:b/>
                <w:sz w:val="20"/>
              </w:rPr>
            </w:pPr>
            <w:r>
              <w:rPr>
                <w:b/>
                <w:sz w:val="20"/>
              </w:rPr>
              <w:t>35-2670395</w:t>
            </w:r>
          </w:p>
        </w:tc>
      </w:tr>
      <w:tr>
        <w:trPr/>
        <w:tc>
          <w:tcPr>
            <w:tcW w:w="2240"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90" w:type="dxa"/>
            <w:tcBorders/>
            <w:tcMar>
              <w:bottom w:w="0" w:type="dxa"/>
            </w:tcMar>
            <w:vAlign w:val="center"/>
          </w:tcPr>
          <w:p>
            <w:pPr>
              <w:pStyle w:val="TableContents"/>
              <w:bidi w:val="0"/>
              <w:spacing w:before="0" w:after="283"/>
              <w:jc w:val="left"/>
              <w:rPr/>
            </w:pPr>
            <w:r>
              <w:rPr/>
              <w:t> </w:t>
            </w:r>
          </w:p>
        </w:tc>
        <w:tc>
          <w:tcPr>
            <w:tcW w:w="2240" w:type="dxa"/>
            <w:tcBorders/>
            <w:tcMar>
              <w:bottom w:w="0" w:type="dxa"/>
            </w:tcMar>
            <w:vAlign w:val="center"/>
          </w:tcPr>
          <w:p>
            <w:pPr>
              <w:pStyle w:val="TableContents"/>
              <w:bidi w:val="0"/>
              <w:spacing w:before="0" w:after="283"/>
              <w:jc w:val="center"/>
              <w:rPr>
                <w:sz w:val="20"/>
              </w:rPr>
            </w:pPr>
            <w:r>
              <w:rPr>
                <w:sz w:val="20"/>
              </w:rPr>
              <w:t>(Commission File Number)</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28" w:type="dxa"/>
          <w:right w:w="0" w:type="dxa"/>
        </w:tblCellMar>
      </w:tblPr>
      <w:tblGrid>
        <w:gridCol w:w="3305"/>
        <w:gridCol w:w="90"/>
        <w:gridCol w:w="980"/>
      </w:tblGrid>
      <w:tr>
        <w:trPr/>
        <w:tc>
          <w:tcPr>
            <w:tcW w:w="33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 1st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302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Phoenix, Arizona</w:t>
            </w:r>
          </w:p>
        </w:tc>
        <w:tc>
          <w:tcPr>
            <w:tcW w:w="90" w:type="dxa"/>
            <w:tcBorders/>
            <w:tcMar>
              <w:bottom w:w="0" w:type="dxa"/>
            </w:tcMar>
            <w:vAlign w:val="center"/>
          </w:tcPr>
          <w:p>
            <w:pPr>
              <w:pStyle w:val="TableContents"/>
              <w:bidi w:val="0"/>
              <w:spacing w:before="0" w:after="283"/>
              <w:jc w:val="left"/>
              <w:rPr/>
            </w:pPr>
            <w:r>
              <w:rPr/>
              <w:t> </w:t>
            </w:r>
          </w:p>
        </w:tc>
        <w:tc>
          <w:tcPr>
            <w:tcW w:w="980" w:type="dxa"/>
            <w:tcBorders>
              <w:bottom w:val="single" w:sz="8" w:space="0" w:color="000000"/>
            </w:tcBorders>
            <w:vAlign w:val="center"/>
          </w:tcPr>
          <w:p>
            <w:pPr>
              <w:pStyle w:val="TableContents"/>
              <w:bidi w:val="0"/>
              <w:spacing w:before="0" w:after="283"/>
              <w:jc w:val="center"/>
              <w:rPr>
                <w:b/>
                <w:sz w:val="20"/>
              </w:rPr>
            </w:pPr>
            <w:r>
              <w:rPr>
                <w:b/>
                <w:sz w:val="20"/>
              </w:rPr>
              <w:t>85004</w:t>
            </w:r>
          </w:p>
        </w:tc>
      </w:tr>
      <w:tr>
        <w:trPr/>
        <w:tc>
          <w:tcPr>
            <w:tcW w:w="330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(480) 374-5350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275"/>
        <w:gridCol w:w="7355"/>
      </w:tblGrid>
      <w:tr>
        <w:trPr/>
        <w:tc>
          <w:tcPr>
            <w:tcW w:w="275"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275"/>
        <w:gridCol w:w="7385"/>
      </w:tblGrid>
      <w:tr>
        <w:trPr/>
        <w:tc>
          <w:tcPr>
            <w:tcW w:w="275"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75"/>
        <w:gridCol w:w="9065"/>
      </w:tblGrid>
      <w:tr>
        <w:trPr/>
        <w:tc>
          <w:tcPr>
            <w:tcW w:w="27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35" w:type="dxa"/>
        <w:jc w:val="left"/>
        <w:tblInd w:w="0" w:type="dxa"/>
        <w:tblLayout w:type="fixed"/>
        <w:tblCellMar>
          <w:top w:w="0" w:type="dxa"/>
          <w:left w:w="0" w:type="dxa"/>
          <w:bottom w:w="28" w:type="dxa"/>
          <w:right w:w="0" w:type="dxa"/>
        </w:tblCellMar>
      </w:tblPr>
      <w:tblGrid>
        <w:gridCol w:w="3545"/>
        <w:gridCol w:w="90"/>
        <w:gridCol w:w="1640"/>
        <w:gridCol w:w="90"/>
        <w:gridCol w:w="3770"/>
      </w:tblGrid>
      <w:tr>
        <w:trPr/>
        <w:tc>
          <w:tcPr>
            <w:tcW w:w="354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45" w:type="dxa"/>
            <w:tcBorders/>
            <w:shd w:fill="CCEEFF" w:val="clear"/>
            <w:tcMar>
              <w:bottom w:w="0" w:type="dxa"/>
            </w:tcMar>
            <w:vAlign w:val="center"/>
          </w:tcPr>
          <w:p>
            <w:pPr>
              <w:pStyle w:val="TableContents"/>
              <w:bidi w:val="0"/>
              <w:spacing w:before="0" w:after="283"/>
              <w:jc w:val="center"/>
              <w:rPr>
                <w:sz w:val="20"/>
              </w:rPr>
            </w:pPr>
            <w:r>
              <w:rPr>
                <w:sz w:val="20"/>
              </w:rPr>
              <w:t>Common Stock, par value $0.001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sz w:val="20"/>
              </w:rPr>
            </w:pPr>
            <w:r>
              <w:rPr>
                <w:sz w:val="20"/>
              </w:rPr>
              <w:t>TRIN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sz w:val="20"/>
              </w:rPr>
            </w:pPr>
            <w:r>
              <w:rPr>
                <w:sz w:val="20"/>
              </w:rPr>
              <w:t>Nasdaq Global Select Market</w:t>
            </w:r>
          </w:p>
        </w:tc>
      </w:tr>
      <w:tr>
        <w:trPr/>
        <w:tc>
          <w:tcPr>
            <w:tcW w:w="3545" w:type="dxa"/>
            <w:tcBorders/>
            <w:tcMar>
              <w:bottom w:w="0" w:type="dxa"/>
            </w:tcMar>
            <w:vAlign w:val="center"/>
          </w:tcPr>
          <w:p>
            <w:pPr>
              <w:pStyle w:val="TableContents"/>
              <w:bidi w:val="0"/>
              <w:spacing w:before="0" w:after="283"/>
              <w:jc w:val="center"/>
              <w:rPr>
                <w:sz w:val="20"/>
              </w:rPr>
            </w:pPr>
            <w:r>
              <w:rPr>
                <w:sz w:val="20"/>
              </w:rPr>
              <w:t>7.875% Notes Due 2029</w:t>
            </w:r>
          </w:p>
        </w:tc>
        <w:tc>
          <w:tcPr>
            <w:tcW w:w="9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sz w:val="20"/>
              </w:rPr>
            </w:pPr>
            <w:r>
              <w:rPr>
                <w:sz w:val="20"/>
              </w:rPr>
              <w:t>TRINZ</w:t>
            </w:r>
          </w:p>
        </w:tc>
        <w:tc>
          <w:tcPr>
            <w:tcW w:w="9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sz w:val="20"/>
              </w:rPr>
            </w:pPr>
            <w:r>
              <w:rPr>
                <w:sz w:val="20"/>
              </w:rPr>
              <w:t>Nasdaq Global Select Market</w:t>
            </w:r>
          </w:p>
        </w:tc>
      </w:tr>
      <w:tr>
        <w:trPr/>
        <w:tc>
          <w:tcPr>
            <w:tcW w:w="3545" w:type="dxa"/>
            <w:tcBorders/>
            <w:shd w:fill="CCEEFF" w:val="clear"/>
            <w:tcMar>
              <w:bottom w:w="0" w:type="dxa"/>
            </w:tcMar>
            <w:vAlign w:val="center"/>
          </w:tcPr>
          <w:p>
            <w:pPr>
              <w:pStyle w:val="TableContents"/>
              <w:bidi w:val="0"/>
              <w:spacing w:before="0" w:after="283"/>
              <w:jc w:val="center"/>
              <w:rPr>
                <w:sz w:val="20"/>
              </w:rPr>
            </w:pPr>
            <w:r>
              <w:rPr>
                <w:sz w:val="20"/>
              </w:rPr>
              <w:t>7.875% Notes Due 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sz w:val="20"/>
              </w:rPr>
            </w:pPr>
            <w:r>
              <w:rPr>
                <w:sz w:val="20"/>
              </w:rPr>
              <w:t>TRINI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sz w:val="20"/>
              </w:rPr>
            </w:pPr>
            <w:r>
              <w:rPr>
                <w:sz w:val="20"/>
              </w:rPr>
              <w:t xml:space="preserve">Nasdaq Global Select Market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 Emerging growth company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Trinity Capital Inc. (the “Company”) entered into an underwriting agreement (the “Underwriting Agreement”) by and among the Company and Keefe, Bruyette &amp; Woods, Inc. and MUFG Securities Americas Inc., as representatives of the several underwriters named in Schedule 1 thereto (collectively, the “Underwriters”), in connection with the issuance and sale of $350,000,000 aggregate principal amount of the Company’s 7.500% Notes due 2032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includes customary representations, warranties and covenants by the Company. It also provides for customary indemnification by each of the Company and the Underwriters against certain liabilities and customary contribution provisions in respect of those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the Company and U.S. Bank Trust Company, National Association (the “Trustee”), entered into a ninth supplemental indenture (the “Ninth Supplemental Indenture”) to the indenture, dated as of January 16, 2020, between the Company and the Trustee (the “Base Indenture”; and together with the Ninth Supplemental Indenture, the “Indenture”), relating to the issuance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January 15, 2032, and may be redeemed in whole or in part at the Company’s option at any time prior to December 15, 2031 at par value plus a “make-whole” premium calculated in accordance with terms under the Indenture and at par on December 15, 2031 or thereafter. The Notes bear interest at a rate of 7.500% per year payable semi-annually on January 15 and July 15 of each year, commencing on January 15, 2027. The Notes are direct, general unsecured obligations of the Company that rank senior in right of payment to all of the Company’s existing and future indebtedness or other obligations that are expressly subordinated in right of payment to the Notes, rank pari passu with all existing and future unsecured unsubordinated indebtedness or other obligations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or other obligations (including trade payables) incurred by the Company’s subsidiaries, financing vehicles or similar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certain covenants, including covenants requiring the Company to comply with the asset coverage requirements of Section 18(a)(1)(A) as modified by Section 61(a) of the Investment Company Act of 1940, as amended, or any successor provisions, but giving effect, in either case, to any exemptive relief granted to the Company by the Securities and Exchange Commission, and to provide financial information to the holders of the Notes and the Trustee if the Company should no longer be subject to the reporting requirements under the Securities Exchange Act of 1934, as amended. These covenants are subject to important limitations and exceptions that are described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the occurrence of a “change of control repurchase event,” as defined in the Indenture, the Company will generally be required to make an offer to purchase the Notes at a price equal to 100% of the principal amount of such Notes plus accrued and unpaid interest to, but not including, the date of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offered and sold in an offering registered under the Securities Act of 1933, as amended, pursuant to the Registration Statement on Form N-2 (File No. 333-289495) previously filed with the Securities and Exchange Commission on August 11, 2025, as supplemented by a preliminary prospectus supplement dated September 30, 2026, a final prospectus supplement dated September 30, 2026, and the pricing term sheet dated September 30, 2026. The transaction closed on October 5, 2026. The net proceeds to the Company were approximately $342.61 million, after deducting the underwriting discounts and estimated offering expenses. The Company intends to use the net proceeds to repay outstanding secured indebtedness under its credit agreement with KeyBank,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Underwriting Agreement, the Base Indenture, the Ninth Supplemental Indenture and the Notes do not purport to be complete and are qualified in their entirety by reference to the full text of the Underwriting Agreement, the Base Indenture, the Ninth Supplemental Indenture and the form of global note representing the Notes, respectively, each filed as exhibits hereto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5"/>
        <w:gridCol w:w="90"/>
        <w:gridCol w:w="9360"/>
      </w:tblGrid>
      <w:tr>
        <w:trPr/>
        <w:tc>
          <w:tcPr>
            <w:tcW w:w="755" w:type="dxa"/>
            <w:tcBorders>
              <w:bottom w:val="single" w:sz="8" w:space="0" w:color="000000"/>
            </w:tcBorders>
            <w:vAlign w:val="center"/>
          </w:tcPr>
          <w:p>
            <w:pPr>
              <w:pStyle w:val="TableContents"/>
              <w:bidi w:val="0"/>
              <w:spacing w:before="0" w:after="283"/>
              <w:jc w:val="left"/>
              <w:rPr>
                <w:b/>
                <w:sz w:val="20"/>
              </w:rPr>
            </w:pPr>
            <w:r>
              <w:rPr>
                <w:b/>
                <w:sz w:val="20"/>
              </w:rPr>
              <w:t>Exhibit</w:t>
              <w:br/>
              <w:t>Number</w:t>
            </w:r>
          </w:p>
        </w:tc>
        <w:tc>
          <w:tcPr>
            <w:tcW w:w="90" w:type="dxa"/>
            <w:tcBorders/>
            <w:tcMar>
              <w:bottom w:w="0" w:type="dxa"/>
            </w:tcMar>
            <w:vAlign w:val="center"/>
          </w:tcPr>
          <w:p>
            <w:pPr>
              <w:pStyle w:val="TableContents"/>
              <w:bidi w:val="0"/>
              <w:spacing w:before="0" w:after="283"/>
              <w:jc w:val="left"/>
              <w:rPr/>
            </w:pPr>
            <w:r>
              <w:rPr/>
              <w:t> </w:t>
            </w:r>
          </w:p>
        </w:tc>
        <w:tc>
          <w:tcPr>
            <w:tcW w:w="936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283"/>
              <w:jc w:val="left"/>
              <w:rPr>
                <w:sz w:val="20"/>
              </w:rPr>
            </w:pPr>
            <w:r>
              <w:rPr>
                <w:sz w:val="20"/>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w:anchor="ea030735901_ex1-1.htm">
              <w:r>
                <w:rPr>
                  <w:rStyle w:val="InternetLink"/>
                  <w:sz w:val="20"/>
                </w:rPr>
                <w:t>Underwriting Agreement, dated September 30, 2026, by and among Trinity Capital Inc. and Keefe, Bruyette &amp; Woods, Inc. and MUFG Securities Americas Inc., as representatives of the several underwriters named in Schedule 1 thereto.</w:t>
              </w:r>
            </w:hyperlink>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r>
              <w:rPr/>
              <w:t> </w:t>
            </w:r>
          </w:p>
        </w:tc>
      </w:tr>
      <w:tr>
        <w:trPr/>
        <w:tc>
          <w:tcPr>
            <w:tcW w:w="755" w:type="dxa"/>
            <w:tcBorders/>
            <w:shd w:fill="CCEEFF" w:val="clear"/>
            <w:tcMar>
              <w:bottom w:w="0" w:type="dxa"/>
            </w:tcMar>
            <w:vAlign w:val="center"/>
          </w:tcPr>
          <w:p>
            <w:pPr>
              <w:pStyle w:val="TableContents"/>
              <w:bidi w:val="0"/>
              <w:spacing w:before="0" w:after="283"/>
              <w:jc w:val="left"/>
              <w:rPr>
                <w:sz w:val="20"/>
              </w:rPr>
            </w:pPr>
            <w:r>
              <w:rPr>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r:id="rId2">
              <w:r>
                <w:rPr>
                  <w:rStyle w:val="InternetLink"/>
                  <w:sz w:val="20"/>
                </w:rPr>
                <w:t>Indenture, dated as of January 16, 2020, by and between Trinity Capital Inc. and U.S. Bank Trust Company, National Association, as trustee (incorporated by reference to exhibit 4.3 to the Company’s Registration Statement on Form 10 filed on January 16, 2020).</w:t>
              </w:r>
            </w:hyperlink>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r>
              <w:rPr/>
              <w:t> </w:t>
            </w:r>
          </w:p>
        </w:tc>
      </w:tr>
      <w:tr>
        <w:trPr/>
        <w:tc>
          <w:tcPr>
            <w:tcW w:w="755" w:type="dxa"/>
            <w:tcBorders/>
            <w:shd w:fill="CCEEFF" w:val="clear"/>
            <w:tcMar>
              <w:bottom w:w="0" w:type="dxa"/>
            </w:tcMar>
            <w:vAlign w:val="center"/>
          </w:tcPr>
          <w:p>
            <w:pPr>
              <w:pStyle w:val="TableContents"/>
              <w:bidi w:val="0"/>
              <w:spacing w:before="0" w:after="283"/>
              <w:jc w:val="left"/>
              <w:rPr>
                <w:sz w:val="20"/>
              </w:rPr>
            </w:pPr>
            <w:r>
              <w:rPr>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w:anchor="ea030735901_ex4-2.htm">
              <w:r>
                <w:rPr>
                  <w:rStyle w:val="InternetLink"/>
                  <w:sz w:val="20"/>
                </w:rPr>
                <w:t>Ninth Supplemental Indenture, dated as of October 5, 2026, between Trinity Capital Inc. and U.S. Bank Trust Company, National Association, as trustee.</w:t>
              </w:r>
            </w:hyperlink>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r>
              <w:rPr/>
              <w:t> </w:t>
            </w:r>
          </w:p>
        </w:tc>
      </w:tr>
      <w:tr>
        <w:trPr/>
        <w:tc>
          <w:tcPr>
            <w:tcW w:w="755" w:type="dxa"/>
            <w:tcBorders/>
            <w:shd w:fill="CCEEFF" w:val="clear"/>
            <w:tcMar>
              <w:bottom w:w="0" w:type="dxa"/>
            </w:tcMar>
            <w:vAlign w:val="center"/>
          </w:tcPr>
          <w:p>
            <w:pPr>
              <w:pStyle w:val="TableContents"/>
              <w:bidi w:val="0"/>
              <w:spacing w:before="0" w:after="283"/>
              <w:jc w:val="left"/>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w:anchor="ea030735901_ex4-2.htm">
              <w:r>
                <w:rPr>
                  <w:rStyle w:val="InternetLink"/>
                  <w:sz w:val="20"/>
                </w:rPr>
                <w:t>Form of 7.500% Note due 2032 (included as part of Exhibit 4.2)</w:t>
              </w:r>
            </w:hyperlink>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r>
              <w:rPr/>
              <w:t> </w:t>
            </w:r>
          </w:p>
        </w:tc>
      </w:tr>
      <w:tr>
        <w:trPr/>
        <w:tc>
          <w:tcPr>
            <w:tcW w:w="755" w:type="dxa"/>
            <w:tcBorders/>
            <w:shd w:fill="CCEEFF" w:val="clear"/>
            <w:tcMar>
              <w:bottom w:w="0" w:type="dxa"/>
            </w:tcMar>
            <w:vAlign w:val="center"/>
          </w:tcPr>
          <w:p>
            <w:pPr>
              <w:pStyle w:val="TableContents"/>
              <w:bidi w:val="0"/>
              <w:spacing w:before="0" w:after="283"/>
              <w:jc w:val="left"/>
              <w:rPr>
                <w:sz w:val="20"/>
              </w:rPr>
            </w:pPr>
            <w:r>
              <w:rPr>
                <w:sz w:val="20"/>
              </w:rPr>
              <w:t>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w:anchor="ea030735901_ex5-1.htm">
              <w:r>
                <w:rPr>
                  <w:rStyle w:val="InternetLink"/>
                  <w:sz w:val="20"/>
                </w:rPr>
                <w:t>Opinion of Dechert LLP</w:t>
              </w:r>
            </w:hyperlink>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r>
              <w:rPr/>
              <w:t> </w:t>
            </w:r>
          </w:p>
        </w:tc>
      </w:tr>
      <w:tr>
        <w:trPr/>
        <w:tc>
          <w:tcPr>
            <w:tcW w:w="755" w:type="dxa"/>
            <w:tcBorders/>
            <w:shd w:fill="CCEEFF" w:val="clear"/>
            <w:tcMar>
              <w:bottom w:w="0" w:type="dxa"/>
            </w:tcMar>
            <w:vAlign w:val="center"/>
          </w:tcPr>
          <w:p>
            <w:pPr>
              <w:pStyle w:val="TableContents"/>
              <w:bidi w:val="0"/>
              <w:spacing w:before="0" w:after="283"/>
              <w:jc w:val="left"/>
              <w:rPr>
                <w:sz w:val="20"/>
              </w:rPr>
            </w:pPr>
            <w:r>
              <w:rPr>
                <w:sz w:val="20"/>
              </w:rPr>
              <w:t>23.1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w:anchor="ea030735901_ex5-1.htm">
              <w:r>
                <w:rPr>
                  <w:rStyle w:val="InternetLink"/>
                  <w:sz w:val="20"/>
                </w:rPr>
                <w:t>Consent of Dechert LLP (included as part of Exhibit 5.1)</w:t>
              </w:r>
            </w:hyperlink>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r>
              <w:rPr/>
              <w:t> </w:t>
            </w:r>
          </w:p>
        </w:tc>
      </w:tr>
      <w:tr>
        <w:trPr/>
        <w:tc>
          <w:tcPr>
            <w:tcW w:w="75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10" w:type="dxa"/>
        <w:jc w:val="left"/>
        <w:tblInd w:w="0" w:type="dxa"/>
        <w:tblLayout w:type="fixed"/>
        <w:tblCellMar>
          <w:top w:w="0" w:type="dxa"/>
          <w:left w:w="0" w:type="dxa"/>
          <w:bottom w:w="0" w:type="dxa"/>
          <w:right w:w="0" w:type="dxa"/>
        </w:tblCellMar>
      </w:tblPr>
      <w:tblGrid>
        <w:gridCol w:w="1850"/>
        <w:gridCol w:w="350"/>
        <w:gridCol w:w="665"/>
        <w:gridCol w:w="3245"/>
      </w:tblGrid>
      <w:tr>
        <w:trPr/>
        <w:tc>
          <w:tcPr>
            <w:tcW w:w="1850" w:type="dxa"/>
            <w:tcBorders/>
            <w:vAlign w:val="center"/>
          </w:tcPr>
          <w:p>
            <w:pPr>
              <w:pStyle w:val="TableContents"/>
              <w:bidi w:val="0"/>
              <w:spacing w:before="0" w:after="283"/>
              <w:jc w:val="left"/>
              <w:rPr/>
            </w:pPr>
            <w:r>
              <w:rPr/>
              <w:t> </w:t>
            </w:r>
          </w:p>
        </w:tc>
        <w:tc>
          <w:tcPr>
            <w:tcW w:w="4260" w:type="dxa"/>
            <w:gridSpan w:val="3"/>
            <w:tcBorders/>
            <w:vAlign w:val="center"/>
          </w:tcPr>
          <w:p>
            <w:pPr>
              <w:pStyle w:val="TableContents"/>
              <w:bidi w:val="0"/>
              <w:spacing w:before="0" w:after="283"/>
              <w:jc w:val="left"/>
              <w:rPr>
                <w:b/>
                <w:sz w:val="20"/>
              </w:rPr>
            </w:pPr>
            <w:r>
              <w:rPr>
                <w:b/>
                <w:sz w:val="20"/>
              </w:rPr>
              <w:t>Trinity Capital Inc.</w:t>
            </w:r>
          </w:p>
        </w:tc>
      </w:tr>
      <w:tr>
        <w:trPr/>
        <w:tc>
          <w:tcPr>
            <w:tcW w:w="1850" w:type="dxa"/>
            <w:tcBorders/>
            <w:vAlign w:val="center"/>
          </w:tcPr>
          <w:p>
            <w:pPr>
              <w:pStyle w:val="TableContents"/>
              <w:bidi w:val="0"/>
              <w:spacing w:before="0" w:after="283"/>
              <w:jc w:val="left"/>
              <w:rPr/>
            </w:pPr>
            <w:r>
              <w:rPr/>
              <w:t> </w:t>
            </w:r>
          </w:p>
        </w:tc>
        <w:tc>
          <w:tcPr>
            <w:tcW w:w="4260"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20"/>
              </w:rPr>
            </w:pPr>
            <w:r>
              <w:rPr>
                <w:sz w:val="20"/>
              </w:rPr>
              <w:t>Date: October 5, 2026</w:t>
            </w:r>
          </w:p>
        </w:tc>
        <w:tc>
          <w:tcPr>
            <w:tcW w:w="350" w:type="dxa"/>
            <w:tcBorders/>
            <w:vAlign w:val="center"/>
          </w:tcPr>
          <w:p>
            <w:pPr>
              <w:pStyle w:val="TableContents"/>
              <w:bidi w:val="0"/>
              <w:spacing w:before="0" w:after="283"/>
              <w:jc w:val="left"/>
              <w:rPr>
                <w:sz w:val="20"/>
              </w:rPr>
            </w:pPr>
            <w:r>
              <w:rPr>
                <w:sz w:val="20"/>
              </w:rPr>
              <w:t>By:</w:t>
            </w:r>
          </w:p>
        </w:tc>
        <w:tc>
          <w:tcPr>
            <w:tcW w:w="391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Kyle Brown</w:t>
            </w:r>
          </w:p>
        </w:tc>
      </w:tr>
      <w:tr>
        <w:trPr/>
        <w:tc>
          <w:tcPr>
            <w:tcW w:w="18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sz w:val="20"/>
              </w:rPr>
            </w:pPr>
            <w:r>
              <w:rPr>
                <w:sz w:val="20"/>
              </w:rPr>
              <w:t xml:space="preserve">Name:  </w:t>
            </w:r>
          </w:p>
        </w:tc>
        <w:tc>
          <w:tcPr>
            <w:tcW w:w="3245" w:type="dxa"/>
            <w:tcBorders/>
            <w:vAlign w:val="center"/>
          </w:tcPr>
          <w:p>
            <w:pPr>
              <w:pStyle w:val="TableContents"/>
              <w:bidi w:val="0"/>
              <w:spacing w:before="0" w:after="283"/>
              <w:jc w:val="left"/>
              <w:rPr>
                <w:sz w:val="20"/>
              </w:rPr>
            </w:pPr>
            <w:r>
              <w:rPr>
                <w:sz w:val="20"/>
              </w:rPr>
              <w:t>Kyle Brown</w:t>
            </w:r>
          </w:p>
        </w:tc>
      </w:tr>
      <w:tr>
        <w:trPr/>
        <w:tc>
          <w:tcPr>
            <w:tcW w:w="18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sz w:val="20"/>
              </w:rPr>
            </w:pPr>
            <w:r>
              <w:rPr>
                <w:sz w:val="20"/>
              </w:rPr>
              <w:t>Title:</w:t>
            </w:r>
          </w:p>
        </w:tc>
        <w:tc>
          <w:tcPr>
            <w:tcW w:w="3245" w:type="dxa"/>
            <w:tcBorders/>
            <w:vAlign w:val="center"/>
          </w:tcPr>
          <w:p>
            <w:pPr>
              <w:pStyle w:val="TableContents"/>
              <w:bidi w:val="0"/>
              <w:spacing w:before="0" w:after="283"/>
              <w:jc w:val="left"/>
              <w:rPr>
                <w:sz w:val="20"/>
              </w:rPr>
            </w:pPr>
            <w:r>
              <w:rPr>
                <w:sz w:val="20"/>
              </w:rPr>
              <w:t xml:space="preserve">Chief Executive Officer, President and </w:t>
              <w:br/>
              <w:t>Chief Investment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35901_ex1-1.htm"/>
      <w:bookmarkStart w:id="3" w:name="ksea030735901_ex11"/>
      <w:bookmarkEnd w:id="2"/>
      <w:bookmarkEnd w:id="3"/>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TRINITY CAPITAL INC.</w:t>
        <w:br/>
        <w:br/>
        <w:t>$350,000,000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 Notes due 2032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Representatives of the</w:t>
        <w:br/>
        <w:t>several Underwriters listed</w:t>
        <w:br/>
        <w:t>in Schedule 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Keefe, Bruyette &amp; Woods,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 Seventh Avenue, Fourth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MUFG Securities Americas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 Avenue of the Americas,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Trinity Capital Inc., a Maryland corporation (the “Company”), proposes, subject to the terms and conditions stated herein, to issue and sell to the several Underwriters listed in Schedule 1 hereto (collectively, the “Underwriters,” which term shall also include any underwriter substituted as hereinafter provided in Section 11 hereof), for whom Keefe, Bruyette &amp; Woods, Inc. (“KBW”) and MUFG Securities Americas Inc. (“MUFG”) are acting as representatives (in such capacity, the “Representatives”), $350,000,000 aggregate principal amount of 7.500% Notes due 2032 of the Company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will be issued under an indenture, dated as of January 16, 2020 (the “Base Indenture”), as supplemented by the Ninth Supplemental Indenture, dated as of the Closing Date (as defined below) (the “Ninth Supplemental Indenture” and, together with the Base Indenture, the “Indenture”), between the Company and U.S. Bank Trust Company, National Association, as trustee (the “Trustee”). The Securities will be issued in book-entry form to Cede &amp; Co. as nominee of the Depository Trust Company (“DTC”) pursuant to a blanket letter of representations, dated as of March 26, 2024, between the Company and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understands that the Underwriters propose to make an offering of the Securities as soon as the Representatives deem advisable after this underwriting agreement (this “Agreement”) has been executed and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 with the several Underwriters concerning the purchase and sale of the Securities,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1.</w:t>
            </w:r>
          </w:p>
        </w:tc>
        <w:tc>
          <w:tcPr>
            <w:tcW w:w="10026" w:type="dxa"/>
            <w:tcBorders/>
            <w:vAlign w:val="center"/>
          </w:tcPr>
          <w:p>
            <w:pPr>
              <w:pStyle w:val="TableContents"/>
              <w:bidi w:val="0"/>
              <w:spacing w:before="0" w:after="283"/>
              <w:jc w:val="both"/>
              <w:rPr/>
            </w:pPr>
            <w:r>
              <w:rPr>
                <w:u w:val="single"/>
              </w:rPr>
              <w:t>Registration Statement</w:t>
            </w:r>
            <w:r>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333-289495), relating to the Securities and certain of the Company’s other securities, which registration statement became effective upon filing with the Commission on August 11, 2025. The Company has also prepared and filed with the Commission a preliminary prospectus supplement dated September 30, 2026 (the “Preliminary Prospectus Supplement”), which contains a base prospectus, dated August 11, 2025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and Rule 424 (“Rule 424”) promulgated under the Securities Act.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contained in a prospectus subsequently filed with the Commission pursuant to Rule 424 under the Securities Act and deemed to be part of the registration statement and also including any registration statement filed pursuant to Rule 462(b) promulgated under the Securities Act (the “Rule 462(b) Registration Statement”), is herein called the “Registration Statement.” The final prospectus to be filed with the Commission pursuant to Rule 424 after the Applicable Time (as defined below) and to be used to confirm sales, which will include the Base Prospectus together with a final prospectus supplement (the “Prospectus Supplement”), is hereinafter referred to as the “Prospectus.” Any reference herein to the Registration Statement, the Preliminary Prospectus and the Prospectus shall be deemed to refer to and include all documents incorporated by reference pursuant to the rules of the Commission promulgated under the Securities Act. All references in this Agreement to amendments or supplements to the Registration Statement or the Prospectus, including those made pursuant to Rule 424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in or otherwise deemed under the rules of the Commission promulgated thereunder or otherwise to be a part of or included in the Registration Statement or the Prospectus, as the case may be, as of any specified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Form N-54A Notification of Election to be Subject to Sections 55 through 65 of the Investment Company Act of 1940, as amended, and the rules and regulations of the Commission thereunder (collectively, the “Investment Company Act”) filed pursuant to Section 54(a) of the Investment Company Act (File No. 814-01341) was filed under the Investment Company Act with the Commission on January 16,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Applicable Time, the Company had prepared the Preliminary Prospectus, which together with the information set forth on Schedule 2 hereto, comprises the “Pricing Disclosure Package.”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Time” means 4:30 P.M., New York City time, on September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Testing-the-Waters Communication” means any oral or written communication with potential investors undertaken in reliance on Section 5(d)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Purchase of the Securities by the Underwriters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aggregate principal amount of Securities set forth opposite such Underwriter’s name in Schedule 1 hereto at the price (the “Purchase Price”) set forth in Schedule 1 hereto. Payment for the Securities shall be made by wire transfer in immediately available funds to the account specified by the Company to the Representatives, at the offices of Ropes &amp; Gray LLP, 1211 Avenue of the Americas, New York, NY 10036, at 10:00 A.M., New York City time, on October 5, 2026, or at such other time or place on the same or such other date, not later than the third business day thereafter, as the Representatives and the Company may agree upon in writing. The time and date of such payment for the Securities is referred to herein as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the Securities shall be made against delivery to the Representatives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Representatives shall otherwise instruct.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understands that the Underwriters intend to offer the Securities for resale on the terms set forth in the Pricing Disclosure Package and the Prospectus, as in the judgment of the Representatives is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Underwriters may offer and sell Securities to or through any affiliate of an Underwriter.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acknowledges and agrees that (1) the Underwriters are acting solely as principal and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(2) the Underwriters have no obligation to the Company with respect to the transactions contemplated by this Agreement except the obligations expressly set forth in this Agreement and (3) it is capable of evaluating and understanding, and understands and accepts, the terms, risks and conditions of the transactions contemplated hereby.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The Company acknowledges and agrees that it is aware that the Underwriters and their affiliates are engaged in a broad range of transactions which may involve interests that differ from those of the Company and that the Underwriters have no obligation to disclose such interests and transactions to the Company by virtue of any fiduciary, advisory or agency relationship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each Underwriter, as of the date of this Agreement and the Closing Date, and agrees with each Underwriter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Preliminary Prospectus. </w:t>
      </w:r>
      <w:r>
        <w:rPr>
          <w:rFonts w:ascii="Times New Roman;Times;Serif" w:hAnsi="Times New Roman;Times;Serif"/>
          <w:b w:val="false"/>
          <w:i w:val="false"/>
          <w:caps w:val="false"/>
          <w:smallCaps w:val="false"/>
          <w:sz w:val="20"/>
        </w:rPr>
        <w:t xml:space="preserve">No order preventing or suspending the use of the Preliminary Prospectus has been issued by the Commission, and the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8(b)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Pricing Disclosure Package.</w:t>
      </w:r>
      <w:r>
        <w:rPr>
          <w:rFonts w:ascii="Times New Roman;Times;Serif" w:hAnsi="Times New Roman;Times;Serif"/>
          <w:b w:val="false"/>
          <w:i w:val="false"/>
          <w:caps w:val="false"/>
          <w:smallCaps w:val="false"/>
          <w:sz w:val="20"/>
        </w:rPr>
        <w:t xml:space="preserve"> The Pricing Disclosure Package as of the Applicable Time did not, and the Pricing Disclosure Package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8(b)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Issuer Free Writing Prospectus</w:t>
      </w:r>
      <w:r>
        <w:rPr>
          <w:rFonts w:ascii="Times New Roman;Times;Serif" w:hAnsi="Times New Roman;Times;Serif"/>
          <w:b w:val="false"/>
          <w:i w:val="false"/>
          <w:caps w:val="false"/>
          <w:smallCaps w:val="false"/>
          <w:sz w:val="20"/>
        </w:rPr>
        <w:t xml:space="preserve">.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Free Writing Prospectus”) other than (i) the Registration Statement, (ii) the Preliminary Prospectus, (iii) the Prospectus, (iv) the documents listed on Schedule 2 hereto, including a Pricing Term Sheet substantially in the form of Annex A hereto, and (v) any electronic road show or other written communications, in each case approved in writing in advance by the Representatives. Each such Issuer Free Writing Prospectus, if any,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Section 8(b)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Investor Presentation.</w:t>
      </w:r>
      <w:r>
        <w:rPr>
          <w:rFonts w:ascii="Times New Roman;Times;Serif" w:hAnsi="Times New Roman;Times;Serif"/>
          <w:b w:val="false"/>
          <w:i w:val="false"/>
          <w:caps w:val="false"/>
          <w:smallCaps w:val="false"/>
          <w:sz w:val="20"/>
        </w:rPr>
        <w:t xml:space="preserve"> Any investor presentation or “road show” presentation undertaken in connection with the marketing of the Securities as of the Applicable Time did not, and as of the Closing Date, will not, contain any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Documents Incorporated by Reference.</w:t>
      </w:r>
      <w:r>
        <w:rPr>
          <w:rFonts w:ascii="Times New Roman;Times;Serif" w:hAnsi="Times New Roman;Times;Serif"/>
          <w:b w:val="false"/>
          <w:i w:val="false"/>
          <w:caps w:val="false"/>
          <w:smallCaps w:val="false"/>
          <w:sz w:val="20"/>
        </w:rPr>
        <w:t xml:space="preserve"> The documents incorporated by reference in each of the Registration Statement, the Prospectus and the Preliminary Prospectus, when they became effective or were filed with the Commission, as the case may be,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Preliminary Prospectus,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 xml:space="preserve">Testing-the-Waters Materials. </w:t>
      </w:r>
      <w:r>
        <w:rPr>
          <w:rFonts w:ascii="Times New Roman;Times;Serif" w:hAnsi="Times New Roman;Times;Serif"/>
          <w:b w:val="false"/>
          <w:i w:val="false"/>
          <w:caps w:val="false"/>
          <w:smallCaps w:val="false"/>
          <w:sz w:val="20"/>
        </w:rPr>
        <w:t>The Company (i) has not alone engaged in any Testing-the-Waters Communications and (ii) has not authorized anyone to engage in Testing-the-Waters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Registration Statement and Prospectus.</w:t>
      </w:r>
      <w:r>
        <w:rPr>
          <w:rFonts w:ascii="Times New Roman;Times;Serif" w:hAnsi="Times New Roman;Times;Serif"/>
          <w:b w:val="false"/>
          <w:i w:val="false"/>
          <w:caps w:val="false"/>
          <w:smallCaps w:val="false"/>
          <w:sz w:val="20"/>
        </w:rPr>
        <w:t xml:space="preserve"> The Company is eligible to use Form N-2 under the Securities Act, and the Registration Statement has been declared effective by the Commission. No order suspending the effectiveness of the Registration Statement has been issued by the Commission, and, to the knowledge of the Company,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 xml:space="preserve">Financial Statements. </w:t>
      </w:r>
      <w:r>
        <w:rPr>
          <w:rFonts w:ascii="Times New Roman;Times;Serif" w:hAnsi="Times New Roman;Times;Serif"/>
          <w:b w:val="false"/>
          <w:i w:val="false"/>
          <w:caps w:val="false"/>
          <w:smallCaps w:val="false"/>
          <w:sz w:val="20"/>
        </w:rPr>
        <w:t>The financial statements of the Company, including the notes and schedules thereto, included or incorporated by reference in the Registration Statement, the Pricing Disclosure Package and the Prospectus (i) present fairly in all material respects the financial condition of the Company and its Subsidiaries (as defined below) as of the respective dates thereof, and the results of operations and statements of cash flows for the periods specified, (ii) correctly reflect and disclose all extraordinary items, and (iii) have been prepared in conformity with United States generally accepted accounting principles (“GAAP”) applied on a consistent basis; the financial information included or incorporated by reference in the Registration Statement, the Pricing Disclosure Package and the Prospectus have been derived from the accounting records and other books and records of the Company and the Subsidiaries and presents fairly in all material respects the information shown thereby as of the date presented and has been compiled on a basis consistent with that of the audited financial statements included or incorporated by reference therein. The financial data set forth in the Registration Statement, Pricing Disclosure Package and in the Prospectus under the heading “Capitalization” presents fairly in all material respects the information set forth therein on a basis consistent with that of the audited financial statements and related notes thereto included or incorporated by reference therein. There is no pro forma financial information that is required to be included or incorporated by reference in the Registration Statement, the Pricing Disclosure Package and the Prospectus that is not included or incorporated by reference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Subsequent to the date of the Preliminary Prospectus Supplement, and except as may be otherwise disclosed in the Registration Statement, the Pricing Disclosure Package and the Prospectus, there has not been (i) any event, circumstance or change in circumstance that, individually or in the aggregate, has or would reasonably be expected to have, individually or in the aggregate, a material adverse effect on the business, condition (financial or otherwise), management, properties, net assets, results of operations or prospects of the Company and the Subsidiaries, taken as a whole, whether or not arising in the ordinary course of business (a “Material Adverse Effect”), (ii) any transaction, other than in the ordinary course of business, contemplated in any substantive manner or entered into by the Company or any Subsidiary, (iii) any obligation, contingent or otherwise, directly or indirectly incurred by the Company or any Subsidiary, other than in the ordinary course of business, (iv) any dividend or distribution of any kind declared, paid or made by the Company or any Subsidiary on any class of its equity securities, or any purchase by the Company or any Subsidiary of any of its outstanding equity securities, or (v) any change of the equity securities or indebtedness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Organization, Good Standing and Due Authorization</w:t>
      </w:r>
      <w:r>
        <w:rPr>
          <w:rFonts w:ascii="Times New Roman;Times;Serif" w:hAnsi="Times New Roman;Times;Serif"/>
          <w:b w:val="false"/>
          <w:i w:val="false"/>
          <w:caps w:val="false"/>
          <w:smallCaps w:val="false"/>
          <w:sz w:val="20"/>
        </w:rPr>
        <w:t>. The Company is a corporation duly incorporated and validly existing and in good standing under the laws of the State of Maryland, with requisite corporate power and authority to (i) own, lease or operate its properties and conduct its business as described in the Registration Statement, the Pricing Disclosure Package and the Prospectus; and (ii) execute and deliver this Agreement, and consummate the transactions contemplated hereby (including the sale, issuance, and delivery of the Securities) and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 xml:space="preserve">Capitalization. </w:t>
      </w:r>
      <w:r>
        <w:rPr>
          <w:rFonts w:ascii="Times New Roman;Times;Serif" w:hAnsi="Times New Roman;Times;Serif"/>
          <w:b w:val="false"/>
          <w:i w:val="false"/>
          <w:caps w:val="false"/>
          <w:smallCaps w:val="false"/>
          <w:sz w:val="20"/>
        </w:rPr>
        <w:t>The Company had, as of the applicable date indicated in the Registration Statement, the Pricing Disclosure Package and the Prospectus, and will have, as of the Closing Date, the duly authorized capitalization set forth in the Registration Statement, the Pricing Disclosure Package and the Prospectus under the caption “Capitalization,” after giving effect to the adjustments set forth thereunder; all of the issued and outstanding shares of capital stock of the Company have been duly authorized and validly issued, are fully paid and non-assessable, and have not been issued in violation of, or subject to any preemptive right or other similar right of stockholders arising by operation of law, under the Company’s articles of amendment and restatement and bylaws (collectively, the “Charter Documents”), under any agreement to which the Company is a party, or otherwise; except as disclosed in or contemplated by the Registration Statement, the Pricing Disclosure Package and the Prospectus, there are no outstanding (i) securities or obligations of the Company convertible into or exchangeable for any capital stock of the Company, (ii) warrants, rights or options to subscribe for or purchase from the Company any such capital stock or any such convertible or exchangeable securities or obligations or (iii) obligations of the Company to issue or sell any such capital stock, any such convertible or exchangeable securities or obligations, or any such warrants, rights or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Due Authorization of Subsidiaries</w:t>
      </w:r>
      <w:r>
        <w:rPr>
          <w:rFonts w:ascii="Times New Roman;Times;Serif" w:hAnsi="Times New Roman;Times;Serif"/>
          <w:b w:val="false"/>
          <w:i w:val="false"/>
          <w:caps w:val="false"/>
          <w:smallCaps w:val="false"/>
          <w:sz w:val="20"/>
        </w:rPr>
        <w:t>. Each subsidiary of the Company that is a “Significant Subsidiary” within the meaning of such term as defined in Rule 1-02 of Regulation S-X of the Commission (a complete list of which is set forth in Schedule 3 hereto) (each a “Subsidiary,” and collectively, the “Subsidiaries”) has been duly incorporated, formed or organized and is validly existing as a corporation, limited liability company, limited partnership or similar entity, in good standing under the laws of the jurisdiction of its incorporation, formation or organization, with requisite power and authority to own, lease or operate its properties and to conduct its business as described in the Registration Statement, the Pricing Disclosure Package and the Prospectus; the Subsidiaries are the only subsidiaries, direct or indirect, of the Company; other than Subsidiaries that are special purpose entities, no Subsidiary is currently prohibited, directly or indirectly, from paying any dividends or distributions to the Company, from repaying to the Company any loans or advances to such Subsidiary from the Company or from transferring any of such Subsidiary’s property or assets to the Company or any other Subsidiary of the Company; the outstanding equity interests of each of the Subsidiaries have been duly authorized and validly issued, are fully paid, and only with respect to any Subsidiary which is a corporation, non-assessable, and are owned by the Company or another Subsidiary free and clear of any lien, encumbrance or claim (each, a “Lien”), other than statutory Liens created by state or federal securities laws restricting the transfer of such equity interests; no options, warrants or other rights to purchase, agreements or other obligations to issue, or other rights to convert any obligations into, shares of capital stock or ownership interests in the Subsidiaries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Underwriting Agreement</w:t>
      </w:r>
      <w:r>
        <w:rPr>
          <w:rFonts w:ascii="Times New Roman;Times;Serif" w:hAnsi="Times New Roman;Times;Serif"/>
          <w:b w:val="false"/>
          <w:i w:val="false"/>
          <w:caps w:val="false"/>
          <w:smallCaps w:val="false"/>
          <w:sz w:val="20"/>
        </w:rPr>
        <w:t>. The execution and delivery of this Agreement by the Company and the consummation by it of the transactions contemplated hereby have been duly authorized by all necessary action on the part of the Company. This Agreement has been duly executed by the Company and, when delivered in accordance with the terms hereof, will constitute a valid and binding obligation of the Company, enforceable against the Company in accordance with its terms</w:t>
      </w:r>
      <w:r>
        <w:rPr>
          <w:rFonts w:ascii="Times New Roman;Times;Serif" w:hAnsi="Times New Roman;Times;Serif"/>
          <w:b w:val="false"/>
          <w:i w:val="false"/>
          <w:caps w:val="false"/>
          <w:smallCaps w:val="false"/>
          <w:sz w:val="20"/>
          <w:shd w:fill="FFFFFF" w:val="clear"/>
        </w:rPr>
        <w:t>, except as the enforcement thereof may be limited by bankruptcy, insolvency, reorganization, moratorium or other similar laws relating to or affecting the rights and remedies of creditors or by general equitable principles and except as rights to indemnity and contribution hereunder and thereunder may be limited by general equitable principles or federal or state securities laws or public policy underlying such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The Base Indenture has been duly authorized, executed and delivered by the Company and constitutes a valid and binding obligation of the Company, enforceable against the Company in accordance with its terms, except as the enforcement thereof may be limited by bankruptcy, insolvency, reorganization, moratorium or other similar laws relating to or affecting the rights and remedies of creditors or by general equitable principles and except as rights to indemnity and contribution thereunder may be limited by general equitable principles or federal or state securities laws or public policy underlying such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caps w:val="false"/>
          <w:smallCaps w:val="false"/>
          <w:sz w:val="20"/>
        </w:rPr>
        <w:t>Ninth Supplemental Indenture</w:t>
      </w:r>
      <w:r>
        <w:rPr>
          <w:rFonts w:ascii="Times New Roman;Times;Serif" w:hAnsi="Times New Roman;Times;Serif"/>
          <w:b w:val="false"/>
          <w:i w:val="false"/>
          <w:caps w:val="false"/>
          <w:smallCaps w:val="false"/>
          <w:sz w:val="20"/>
        </w:rPr>
        <w:t>. The execution and delivery of the</w:t>
        <w:br/>
        <w:t>Ninth Supplemental Indenture by the Company and the consummation by it of the transactions contemplated thereby have been duly authorized by all necessary action on the part of the Company. On the Closing Date, the Ninth Supplemental Indenture will be duly executed and delivered by the Company and, when duly authorized, executed and delivered in accordance with the terms hereof and thereof, will constitute a valid and binding obligation of the Company, enforceable against the Company in accordance with its terms</w:t>
      </w:r>
      <w:r>
        <w:rPr>
          <w:rFonts w:ascii="Times New Roman;Times;Serif" w:hAnsi="Times New Roman;Times;Serif"/>
          <w:b w:val="false"/>
          <w:i w:val="false"/>
          <w:caps w:val="false"/>
          <w:smallCaps w:val="false"/>
          <w:sz w:val="20"/>
          <w:shd w:fill="FFFFFF" w:val="clear"/>
        </w:rPr>
        <w:t>, except as the enforcement thereof may be limited by bankruptcy, insolvency, reorganization, moratorium or other similar laws relating to or affecting the rights and remedies of creditors or by general equitable principles and except as rights to indemnity and contribution thereunder may be limited by general equitable principles or federal or state securities laws or public policy underlying such laws</w:t>
      </w:r>
      <w:r>
        <w:rPr>
          <w:rFonts w:ascii="Times New Roman;Times;Serif" w:hAnsi="Times New Roman;Times;Serif"/>
          <w:b w:val="false"/>
          <w:i w:val="false"/>
          <w:caps w:val="false"/>
          <w:smallCaps w:val="false"/>
          <w:sz w:val="20"/>
        </w:rPr>
        <w:t>; the Indenture conforms in all material respects to the requirements of the TIA, and the rules and regulations of the Commission applicable to an indenture that is qualified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rPr>
        <w:t>The Securities</w:t>
      </w:r>
      <w:r>
        <w:rPr>
          <w:rFonts w:ascii="Times New Roman;Times;Serif" w:hAnsi="Times New Roman;Times;Serif"/>
          <w:b w:val="false"/>
          <w:i w:val="false"/>
          <w:caps w:val="false"/>
          <w:smallCaps w:val="false"/>
          <w:sz w:val="20"/>
        </w:rPr>
        <w:t>. The Securities to be issued and sold by the Company hereunder have been duly authorized and, when issued, authenticated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and except as rights to indemnity and contribution thereunder may be limited by general equitable principles or federal or state securities laws or public policy underlying such laws, and will be entitled to the benefits of the Indenture relating thereto; and the Securities and the Indenture conform in all material respects to the statements relating thereto contained in the Registration Statement, the Pricing Disclosure Package and the Prospectus; the statements set forth in the Registration Statement, the Pricing Disclosure Package and the Prospectus under the caption “Description of the Notes,” insofar as they purport to describe the provisions of the laws and regulations or documents referred to therein, are accurate, complete and fair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caps w:val="false"/>
          <w:smallCaps w:val="false"/>
          <w:sz w:val="20"/>
        </w:rPr>
        <w:t>No Violation or Default of the Company</w:t>
      </w:r>
      <w:r>
        <w:rPr>
          <w:rFonts w:ascii="Times New Roman;Times;Serif" w:hAnsi="Times New Roman;Times;Serif"/>
          <w:b w:val="false"/>
          <w:i w:val="false"/>
          <w:caps w:val="false"/>
          <w:smallCaps w:val="false"/>
          <w:sz w:val="20"/>
        </w:rPr>
        <w:t>. The Company is not in breach of, or in default under (nor has any event occurred which with notice, lapse of time, or both would constitute a breach of, or default under), (i) any of the Charter Documents, (ii) any obligation, agreement, covenant or condition contained in any material contract, license, indenture, mortgage, deed of trust, bank loan or credit agreement or other agreement or instrument to which the Company is a party or by which it or its assets may be bound or affected, or (iii) any Law (as defined below) applicable to the Company, except, in the case of clause (ii), for such breaches or defaults which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caps w:val="false"/>
          <w:smallCaps w:val="false"/>
          <w:sz w:val="20"/>
        </w:rPr>
        <w:t>No Violation or Default of Subsidiaries</w:t>
      </w:r>
      <w:r>
        <w:rPr>
          <w:rFonts w:ascii="Times New Roman;Times;Serif" w:hAnsi="Times New Roman;Times;Serif"/>
          <w:b w:val="false"/>
          <w:i w:val="false"/>
          <w:caps w:val="false"/>
          <w:smallCaps w:val="false"/>
          <w:sz w:val="20"/>
        </w:rPr>
        <w:t>. None of the Subsidiaries is in breach of, or in default under (nor has any event occurred which with notice, lapse of time, or both would constitute a breach of, or default under), (i) any of its charter documents, (ii) any obligation, agreement, covenant or condition contained in any material contract, license, indenture, mortgage, deed of trust, bank loan or credit agreement or other agreement or instrument to which such Subsidiary is a party or by which any of them or their respective assets may be bound or affected, or (iii) any Law applicable to such Subsidiary, except, in the case of clause (ii) for such breaches or defaults which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No Conflicts</w:t>
      </w:r>
      <w:r>
        <w:rPr>
          <w:rFonts w:ascii="Times New Roman;Times;Serif" w:hAnsi="Times New Roman;Times;Serif"/>
          <w:b w:val="false"/>
          <w:i w:val="false"/>
          <w:caps w:val="false"/>
          <w:smallCaps w:val="false"/>
          <w:sz w:val="20"/>
        </w:rPr>
        <w:t>. The execution, delivery and performance by the Company of this Agreement and the Indenture, the issuance and sale of the Securities by the Company, the consummation by the Company of the transactions contemplated by this Agreement and the Indenture, the performance by the Company of the Indenture, and the use of the proceeds from the sale of the Securities as described in the Pricing Disclosure Package and the Prospectus, will not conflict with, or result in any breach of or constitute a default under (nor constitute any event which with notice, lapse of time, or both would constitute a breach of, or default under), (i) any provision of any of the Charter Documents, (ii) any provision of any material contract, license, indenture, mortgage, deed of trust, bank loan or credit agreement or other agreement or instrument to which the Company or any Subsidiary is a party or by which it or its respective assets may be bound or affected, or (iii) any Law issued by any federal, state or local government, regulatory commission, court, administrative agency or commission, or other governmental body, board, agency, authority or instrumentality of competent jurisdiction (each, a “Governmental Authority”) applicable to the Company or any Subsidiary, except in the case of clause (ii) for such conflicts, breaches or defaults which have been validly waived or would not, individually or in the aggregate, reasonably be expected to have a Material Adverse Effect or result in the creation or imposition of any material lien, charge, claim or encumbrance upon any property or asset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caps w:val="false"/>
          <w:smallCaps w:val="false"/>
          <w:sz w:val="20"/>
        </w:rPr>
        <w:t>No Consents Required</w:t>
      </w:r>
      <w:r>
        <w:rPr>
          <w:rFonts w:ascii="Times New Roman;Times;Serif" w:hAnsi="Times New Roman;Times;Serif"/>
          <w:b w:val="false"/>
          <w:i w:val="false"/>
          <w:caps w:val="false"/>
          <w:smallCaps w:val="false"/>
          <w:sz w:val="20"/>
        </w:rPr>
        <w:t>. No filing with, or authorization, approval, consent, license, order, registration, qualification or decree of, any Governmental Authority is necessary or required for the performance by the Company of this Agreement and the Indenture, the issuance and sale of the Securities, and the consummation of the transactions contemplated by this Agreement and the Indenture, except (A) such as have been already obtained or as may be required under the Securities Act, the Investment Company Act, the rules of the Nasdaq Global Select Market, state securities laws or the rules of the Financial Industry Regulatory Authority, Inc. (“FINRA”) and (B) where the failure to obtain any such filing, authorization, approval, consent, license, order, registration, qualification or decree would not reasonably be expected, singly or in the aggregate,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caps w:val="false"/>
          <w:smallCaps w:val="false"/>
          <w:sz w:val="20"/>
        </w:rPr>
        <w:t xml:space="preserve">No Judgments. </w:t>
      </w:r>
      <w:r>
        <w:rPr>
          <w:rFonts w:ascii="Times New Roman;Times;Serif" w:hAnsi="Times New Roman;Times;Serif"/>
          <w:b w:val="false"/>
          <w:i w:val="false"/>
          <w:caps w:val="false"/>
          <w:smallCaps w:val="false"/>
          <w:sz w:val="20"/>
        </w:rPr>
        <w:t>There is no outstanding judgment, order, writ, injunction, decree or award of any Governmental Authority or arbitrator affecting the business of the Company or any of the Subsidiaries, which draws into question the validity of any action taken or to be taken pursuant to this Agreement or in which it is sought to restrain or prohibit or to obtain damages or other relief in connection with this Agreement; there is no litigation, arbitration, investigation or other proceeding of or before any Governmental Authority pending, or, to the knowledge of the Company, threatened in writing, against the Company, any Subsidiary, any stockholder of the Company, or any stockholder or member of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 xml:space="preserve">Legal Proceedings. </w:t>
      </w:r>
      <w:r>
        <w:rPr>
          <w:rFonts w:ascii="Times New Roman;Times;Serif" w:hAnsi="Times New Roman;Times;Serif"/>
          <w:b w:val="false"/>
          <w:i w:val="false"/>
          <w:caps w:val="false"/>
          <w:smallCaps w:val="false"/>
          <w:sz w:val="20"/>
        </w:rPr>
        <w:t>Other than as set forth in the Registration Statement, the Pricing Disclosure Package and the Prospectus, there are no actions, suits, proceedings, inquiries, examinations or investigations (collectively, “Proceedings”) pending or, to the knowledge of the Company, threatened against the Company or any Subsidiary, or any of their respective properties, directors, officers or employees at law or in equity, or before or by any Governmental Authority; other than the Underwriters, the Company has not authorized anyone to make any representations regarding the offer and sale of the Securities, or regarding the Company or any Subsidiary in connection therewith; none of the Company or the Subsidiaries has received written notice of any order or decree preventing the use of the Preliminary Prospectus, the Pricing Disclosure Package or the Preliminary Prospectus Supplement or any amendment or supplement thereto, and no Proceeding for that purpose has commenced or is pending or, to the knowledge of the Company, is contemplated;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caps w:val="false"/>
          <w:smallCaps w:val="false"/>
          <w:sz w:val="20"/>
        </w:rPr>
        <w:t>Compliance with Laws</w:t>
      </w:r>
      <w:r>
        <w:rPr>
          <w:rFonts w:ascii="Times New Roman;Times;Serif" w:hAnsi="Times New Roman;Times;Serif"/>
          <w:b w:val="false"/>
          <w:i w:val="false"/>
          <w:caps w:val="false"/>
          <w:smallCaps w:val="false"/>
          <w:sz w:val="20"/>
        </w:rPr>
        <w:t>. None of the Company or the Subsidiaries has violated, or received written notice of any violation with respect to, any law, rule, regulation, order, decree or judgment (each, a “Law”) applicable to it and its business, including those relating to transactions with affiliates, lending, debt collection, notice, privacy, environmental, safety or similar Laws, federal or state Laws relating to discrimination in the hiring, promotion or pay of employees, federal or state wages and hours Laws, the Employee Retirement Income Security Act of 1974, as amended, and the rules and regulations promulgated thereunder (“ERISA”), except for those violations, in each case, as would not reasonably be expected to,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The statements set forth in the Registration Statement, the Pricing Disclosure Package and the Prospectus under the caption “Description of Our Capital Stock”, insofar as they purport to describe the provisions of the laws and regulations or documents referred to therein, are accurate, complete and fair in all material respects; there are no contracts, agreements or understandings of the Company or any of its Subsidiaries that are required to be described in or filed as exhibits to the Registration Statement or the Prospectus by the Securities Act that have not been so described, filed or incorporated by reference therein as permitted by the Securities Act; the Registration Statement, Pricing Disclosure Package and the Prospectus contain accurate summaries in all material respects of all material contracts, agreements, instruments and other documents of the Company as required by Form N-2 under the Securities Act; the copies of all such contracts, agreements, instruments and other documents (including all amendments or waivers relating to any of the foregoing) that have been previously furnished to the Underwriters or their counsel are complete and genuine and include all material collateral and supplemental agreements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caps w:val="false"/>
          <w:smallCaps w:val="false"/>
          <w:sz w:val="20"/>
        </w:rPr>
        <w:t xml:space="preserve">Election to be Treated as a Business Development Company. </w:t>
      </w:r>
      <w:r>
        <w:rPr>
          <w:rFonts w:ascii="Times New Roman;Times;Serif" w:hAnsi="Times New Roman;Times;Serif"/>
          <w:b w:val="false"/>
          <w:i w:val="false"/>
          <w:caps w:val="false"/>
          <w:smallCaps w:val="false"/>
          <w:sz w:val="20"/>
        </w:rPr>
        <w:t>The Company has duly elected to be regulated by the Commission as a business development company under the Investment Company Act, such election is effective and the Company has not withdrawn that election, and the Commission has not ordered that such election be withdrawn nor to the best of the Company’s knowledge have proceedings to effectuate such withdrawal been initiated or threatened by the Commission; the operations of the Company are in compliance with the provisions of the Investment Company Act applicable to business development companies and the rules and regulations of the Commission thereunder applicable to business development companies, except where such non-compliance would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caps w:val="false"/>
          <w:smallCaps w:val="false"/>
          <w:sz w:val="20"/>
        </w:rPr>
        <w:t>Independent Accountants</w:t>
      </w:r>
      <w:r>
        <w:rPr>
          <w:rFonts w:ascii="Times New Roman;Times;Serif" w:hAnsi="Times New Roman;Times;Serif"/>
          <w:b w:val="false"/>
          <w:i w:val="false"/>
          <w:caps w:val="false"/>
          <w:smallCaps w:val="false"/>
          <w:sz w:val="20"/>
        </w:rPr>
        <w:t>. Ernst &amp; Young LLP, who has certified certain financial statements of the Company, is an independent registered public accounting firm with respect to the Company or its applicable predecessors within the meaning of the Securities Act and the Public Company Accounting Oversight Board (United States), as required by the Securities Act for registered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caps w:val="false"/>
          <w:smallCaps w:val="false"/>
          <w:sz w:val="20"/>
        </w:rPr>
        <w:t xml:space="preserve">Title to Real and Personal Property. </w:t>
      </w:r>
      <w:r>
        <w:rPr>
          <w:rFonts w:ascii="Times New Roman;Times;Serif" w:hAnsi="Times New Roman;Times;Serif"/>
          <w:b w:val="false"/>
          <w:i w:val="false"/>
          <w:caps w:val="false"/>
          <w:smallCaps w:val="false"/>
          <w:sz w:val="20"/>
        </w:rPr>
        <w:t>The Company and each of the Subsidiaries has good and valid title to all assets and properties reflected as owned by it in the Registration Statement, Pricing Disclosure Package and the Prospectus (whether through fee ownership, mineral estates or similar rights of ownership), in each case free and clear of any Liens, except such as are disclosed in the Registration Statement, the Pricing Disclosure Package and the Prospectus; any real property or personal property held under lease by the Company or any Subsidiary is held under a lease that is valid, existing and enforceable by the Company or such Subsidiary, with such exceptions as are disclosed in the Registration Statement, the Pricing Disclosure Package and the Prospectus, and none of the Company or the Subsidiaries has received any notice of any claim of any sort that has been asserted by anyone adverse to the rights of the Company or any Subsidiary under any such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caps w:val="false"/>
          <w:smallCaps w:val="false"/>
          <w:sz w:val="20"/>
        </w:rPr>
        <w:t>Title to Intellectual Property</w:t>
      </w:r>
      <w:r>
        <w:rPr>
          <w:rFonts w:ascii="Times New Roman;Times;Serif" w:hAnsi="Times New Roman;Times;Serif"/>
          <w:b w:val="false"/>
          <w:i w:val="false"/>
          <w:caps w:val="false"/>
          <w:smallCaps w:val="false"/>
          <w:sz w:val="20"/>
        </w:rPr>
        <w:t>. The Company and each Subsidiary owns or possesses such licenses or other rights to use all material patents, trademarks, service marks, trade names, copyrights, software and design licenses, trade secrets, other intangible property rights and know-how (collectively “Intangibles”) as are necessary to conduct the Company’s and/or such Subsidiary’s respective business as described in the Registration Statement, the Pricing Disclosure Package and the Prospectus, except such as are disclosed in the Registration Statement, the Pricing Disclosure Package and the Prospectus, and none of the Company or the Subsidiaries has received written notice of any infringement of or conflict with (and none of the Company or the Subsidiaries knows of any such infringement of or conflict with) asserted rights of others with respect to any Intangibles, which would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caps w:val="false"/>
          <w:smallCaps w:val="false"/>
          <w:sz w:val="20"/>
        </w:rPr>
        <w:t>No Undisclosed Relationships</w:t>
      </w:r>
      <w:r>
        <w:rPr>
          <w:rFonts w:ascii="Times New Roman;Times;Serif" w:hAnsi="Times New Roman;Times;Serif"/>
          <w:b w:val="false"/>
          <w:i w:val="false"/>
          <w:caps w:val="false"/>
          <w:smallCaps w:val="false"/>
          <w:sz w:val="20"/>
        </w:rPr>
        <w:t>. None of the independent directors named in the Registration Statement, the Pricing Disclosure Package and the Prospectus has, within the last five years, been employed by or affiliated, directly or indirectly, with the Company or any of the Subsidiaries, whether by ownership of, ownership interest in, employment by, any material business or professional relationship with, or serving as an officer or director of, the Company, any of the Subsidiaries, or any of their respective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caps w:val="false"/>
          <w:smallCaps w:val="false"/>
          <w:sz w:val="20"/>
          <w:shd w:fill="FFFFFF" w:val="clear"/>
        </w:rPr>
        <w:t xml:space="preserve">Investment Company Act. </w:t>
      </w:r>
      <w:r>
        <w:rPr>
          <w:rFonts w:ascii="Times New Roman;Times;Serif" w:hAnsi="Times New Roman;Times;Serif"/>
          <w:b w:val="false"/>
          <w:i w:val="false"/>
          <w:caps w:val="false"/>
          <w:smallCaps w:val="false"/>
          <w:sz w:val="20"/>
          <w:shd w:fill="FFFFFF" w:val="clear"/>
        </w:rPr>
        <w:t>Neither the Company nor any Subsidiary is required to register as an “investment company” under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caps w:val="false"/>
          <w:smallCaps w:val="false"/>
          <w:sz w:val="20"/>
        </w:rPr>
        <w:t xml:space="preserve">Taxes. </w:t>
      </w:r>
      <w:r>
        <w:rPr>
          <w:rFonts w:ascii="Times New Roman;Times;Serif" w:hAnsi="Times New Roman;Times;Serif"/>
          <w:b w:val="false"/>
          <w:i w:val="false"/>
          <w:caps w:val="false"/>
          <w:smallCaps w:val="false"/>
          <w:sz w:val="20"/>
        </w:rPr>
        <w:t>Except where such failure to file or pay a tax, assessment, charge or lien would not, individually or in the aggregate, reasonably be expected to have a Material Adverse Effect or where such matters are the result of a pending bona fide dispute with taxing authorities, (i) the Company and the Subsidiaries have accurately prepared and timely filed (taking into account any extensions of time within which to file) any and all federal, state, foreign and other tax returns that are required to be filed by them, if any, and have paid or made provision for the payment of all taxes, assessments, governmental or other similar charges, including, without limitation, all sales and use taxes and all taxes which the Company and the Subsidiaries are obligated to withhold from amounts owing to employees, creditors and third parties, with respect to the periods covered by such tax returns (whether or not such amounts are shown as due on any tax return), and (ii) there is no tax Lien, whether imposed by any federal, state, foreign or other taxing authority, outstanding against the assets, properties or business of the Company or any Subsidiary, other than Liens for taxes not yet due and payable; no deficiency assessment with respect to a proposed adjustment of the Company’s or any Subsidiary’s federal, state, local or foreign taxes is pending or, to the knowledge of the Company, threatened; since the date of the most recent audited financial statements, none of the Company or the Subsidiaries has incurred any liability for taxes other than in the ordinary course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caps w:val="false"/>
          <w:smallCaps w:val="false"/>
          <w:sz w:val="20"/>
        </w:rPr>
        <w:t>Licenses and Permits</w:t>
      </w:r>
      <w:r>
        <w:rPr>
          <w:rFonts w:ascii="Times New Roman;Times;Serif" w:hAnsi="Times New Roman;Times;Serif"/>
          <w:b w:val="false"/>
          <w:i w:val="false"/>
          <w:caps w:val="false"/>
          <w:smallCaps w:val="false"/>
          <w:sz w:val="20"/>
        </w:rPr>
        <w:t>. The Company and each of the Subsidiaries has all necessary licenses, permits, certificates, authorizations, consents and approvals and has made all necessary filings required under any Law (collectively, the “Authorizations”) required in order to conduct its respective business as described in the Registration Statement, the Pricing Disclosure Package and the Prospectus; the Company and each of the Subsidiaries have complied with the terms of the necessary Authorizations and there are not pending modifications, amendments or revocations of the Authorizations; the Company and the Subsidiaries have paid all fees due to Governmental Authorities pursuant to the Authorizations; all reports required to be filed in connection with the Authorizations have been timely filed and are accurate and complete; and the Company and the Subsidiaries are not in violation of, or in default under, any such Authorizations or any Law issued by a Governmental Authority applicable to the Company or any such Subsidiary, except to the extent that any failure to have, comply with, pay any fees pursuant to, file any reports in connection with, or violate or default under any such Authorizations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caps w:val="false"/>
          <w:smallCaps w:val="false"/>
          <w:sz w:val="20"/>
        </w:rPr>
        <w:t>Accounting Controls</w:t>
      </w:r>
      <w:r>
        <w:rPr>
          <w:rFonts w:ascii="Times New Roman;Times;Serif" w:hAnsi="Times New Roman;Times;Serif"/>
          <w:b w:val="false"/>
          <w:i w:val="false"/>
          <w:caps w:val="false"/>
          <w:smallCaps w:val="false"/>
          <w:sz w:val="20"/>
        </w:rPr>
        <w:t>. The Company maintains a system of internal accounting controls over financial reporting (as such term is defined in Rule 13a-15(f) under the Exchange Act) that complies in all material respects with the requirements of the Exchange Act and is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each of the Registration Statement, the Pricing Disclosure Package and the Prospectus, (A) the Company is not aware of any material weaknesses or significant deficiencies (as such terms are defined in Rule 1-02(a)(4) of Regulation S-X under the Securities Act) in the Company’s internal controls over financial reporting, and (B) there has been no change in the Company’s internal controls over financial reporting since the respective dates of the information given in the Registration Statement, the Pricing Disclosure Package and the Prospectus that has materially affected, or is reasonably likely to materially affect, the Company’s internal controls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xml:space="preserve"> The Company is insured by insurers of recognized financial responsibility against such losses and risks and in such amounts as are prudent and customary in the businesses in which it is engaged and which the Company reasonably deems adequate; all policies of insurance insuring the Company or its business, assets, employees, officers and directors, including the Company’s directors and officers errors and omissions insurance policy and its fidelity bond required by Rule 17g-1 of the Investment Company Act, are, or as of the Closing Date, will be in full force and effect; the Company is, or will be as of the Closing Date, in compliance with the terms of such policy and fidelity bond; and there are no claims by the Company under any such policy or fidelity bond as to which any insurance company is denying liability or defending under a reservation of rights clause; the Company has no reason to believe that it will not be able to renew its existing insurance coverage and fidelity bond as and when such coverage and fidelity bond expires or to obtain similar coverage and fidelity bond from similar insurers as may be necessary to continue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No Unlawful Payments</w:t>
      </w:r>
      <w:r>
        <w:rPr>
          <w:rFonts w:ascii="Times New Roman;Times;Serif" w:hAnsi="Times New Roman;Times;Serif"/>
          <w:b w:val="false"/>
          <w:i w:val="false"/>
          <w:caps w:val="false"/>
          <w:smallCaps w:val="false"/>
          <w:sz w:val="20"/>
        </w:rPr>
        <w:t>. None of the Company or any of its Subsidiaries or any director, officer, employee or, to the knowledge of the Company, any agent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law, regulation, order, decree, or directive having the force of law relating to anti-bribery or anti-corruption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 and the Company will not use, directly or indirectly, the proceeds of the offering in furtherance of any offer payment, promise to pay, or authorization or approval of the payment or giving of money, or anything else of value, to any person in violation of the Anti-Corruption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caps w:val="false"/>
          <w:smallCaps w:val="false"/>
          <w:sz w:val="20"/>
        </w:rPr>
        <w:t>Compliance with Anti-Money Laundering Laws</w:t>
      </w:r>
      <w:r>
        <w:rPr>
          <w:rFonts w:ascii="Times New Roman;Times;Serif" w:hAnsi="Times New Roman;Times;Serif"/>
          <w:b w:val="false"/>
          <w:i w:val="false"/>
          <w:caps w:val="false"/>
          <w:smallCaps w:val="false"/>
          <w:sz w:val="20"/>
        </w:rPr>
        <w:t>. The operations of the Company and the Subsidiaries are and have been conducted and will be conducted at all times in compliance with applicable financial recordkeeping and reporting requirements, the Bank Secrecy Act of 1970, as amended, applicable provisions of the Uniting and Strengthening of America by Providing Appropriate Tools Required to Intercept and Obstruct Terrorism Act (USA PATRIOT ACT) of 2001, including all amendments thereto and the rules and regulations promulgated thereunder (the “USA Patriot Act”), the Money Laundering Control Act of 1986, the anti-money laundering statutes of all jurisdictions to the extent applicable to the Company or any of the Subsidiaries, the rules and regulations thereunder and any related or similar rules, regulations or guidelines issued, administered or enforced by any Governmental Authority (collectively, the “Anti-Money Laundering Laws”) of all jurisdictions having jurisdiction over the Company and the Subsidiaries, and; no action, suit or proceeding by or before any Governmental Authority or any arbitrator involving the Company or any of the Subsidiaries with respect to the Anti-Money Laundering Laws of all jurisdictions having jurisdiction over the Company and the Subsidiaries is pending or, to the knowledge of the Company,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caps w:val="false"/>
          <w:smallCaps w:val="false"/>
          <w:sz w:val="20"/>
        </w:rPr>
        <w:t>Related Party Indebtedness</w:t>
      </w:r>
      <w:r>
        <w:rPr>
          <w:rFonts w:ascii="Times New Roman;Times;Serif" w:hAnsi="Times New Roman;Times;Serif"/>
          <w:b w:val="false"/>
          <w:i w:val="false"/>
          <w:caps w:val="false"/>
          <w:smallCaps w:val="false"/>
          <w:sz w:val="20"/>
        </w:rPr>
        <w:t>. There are no outstanding loans or advances or guarantees of indebtedness by the Company or any Subsidiary to or for the benefit of any of the directors, officers, affiliates, or representatives of the Company or any Subsidiary, or any of the immediate family members of any of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caps w:val="false"/>
          <w:smallCaps w:val="false"/>
          <w:sz w:val="20"/>
        </w:rPr>
        <w:t>No Conflicts with Sanctions Laws</w:t>
      </w:r>
      <w:r>
        <w:rPr>
          <w:rFonts w:ascii="Times New Roman;Times;Serif" w:hAnsi="Times New Roman;Times;Serif"/>
          <w:b w:val="false"/>
          <w:i w:val="false"/>
          <w:caps w:val="false"/>
          <w:smallCaps w:val="false"/>
          <w:sz w:val="20"/>
        </w:rPr>
        <w:t>. None of the Company or any of the Subsidiaries, or any of their respective directors, officers or employees, or, to the knowledge of the Company, any agents or affiliates or other persons associated with or acting on behalf of the Company, is an individual or an entity that is, or is owned or controlled by one or more individuals or entities, is currently the target of, any sanctions administered or enforced by the U.S. government (including, without limitation, the Office of Foreign Assets Control of the U.S. Department of the Treasury and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the Subsidiaries or any of its directors, officers, or employees, or, to the knowledge of the Company, any agents, affiliates or other persons associated with or acting on behalf of the Company, an individual or entity that is, or is owned or controlled by one or more individuals or entities that are, located, organized, or resident in a country or territory that is the subject or the target of Sanctions that broadly prohibit dealings with that country or territory (including, without limitation, the so-called Donetsk People’s Republic, the so-called Luhansk People’s Republic or any other Covered Region of Ukraine identified in Executive Order 14065, the non-government controlled areas of Kherson and Zaporizhzhia, Crimea, Cuba, Iran, and North Korea)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the Subsidiaries have not knowingly engaged in, and are not now knowingly engaged in, and will not engage in, any dealings or transactions with any person that at the time of the dealing or transaction is or was a Sanctioned Person or with any Sanctioned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caps w:val="false"/>
          <w:smallCaps w:val="false"/>
          <w:sz w:val="20"/>
        </w:rPr>
        <w:t xml:space="preserve">Company Not Ineligible Issuer. </w:t>
      </w:r>
      <w:r>
        <w:rPr>
          <w:rFonts w:ascii="Times New Roman;Times;Serif" w:hAnsi="Times New Roman;Times;Serif"/>
          <w:b w:val="false"/>
          <w:i w:val="false"/>
          <w:caps w:val="false"/>
          <w:smallCaps w:val="false"/>
          <w:sz w:val="20"/>
        </w:rPr>
        <w:t>The Company is not an ineligible issuer, as defined under the Securities Act, at the time specified in the Securities Act in connection with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caps w:val="false"/>
          <w:smallCaps w:val="false"/>
          <w:sz w:val="20"/>
        </w:rPr>
        <w:t xml:space="preserve">No Broker’s Fees. </w:t>
      </w:r>
      <w:r>
        <w:rPr>
          <w:rFonts w:ascii="Times New Roman;Times;Serif" w:hAnsi="Times New Roman;Times;Serif"/>
          <w:b w:val="false"/>
          <w:i w:val="false"/>
          <w:caps w:val="false"/>
          <w:smallCaps w:val="false"/>
          <w:sz w:val="20"/>
        </w:rPr>
        <w:t>Except with respect to the Underwriters, none of the Company or the Subsidiaries has incurred any liability for any finder’s fees or similar payments in connection with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caps w:val="false"/>
          <w:smallCaps w:val="false"/>
          <w:sz w:val="20"/>
        </w:rPr>
        <w:t xml:space="preserve">Registration Rights. </w:t>
      </w:r>
      <w:r>
        <w:rPr>
          <w:rFonts w:ascii="Times New Roman;Times;Serif" w:hAnsi="Times New Roman;Times;Serif"/>
          <w:b w:val="false"/>
          <w:i w:val="false"/>
          <w:caps w:val="false"/>
          <w:smallCaps w:val="false"/>
          <w:sz w:val="20"/>
        </w:rPr>
        <w:t>There are no persons with registration or other similar rights to have any securities registered by the Company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caps w:val="false"/>
          <w:smallCaps w:val="false"/>
          <w:sz w:val="20"/>
        </w:rPr>
        <w:t>No Stabilization or Manipulation</w:t>
      </w:r>
      <w:r>
        <w:rPr>
          <w:rFonts w:ascii="Times New Roman;Times;Serif" w:hAnsi="Times New Roman;Times;Serif"/>
          <w:b w:val="false"/>
          <w:i w:val="false"/>
          <w:caps w:val="false"/>
          <w:smallCaps w:val="false"/>
          <w:sz w:val="20"/>
        </w:rPr>
        <w:t>. Neither the Company nor any of the Subsidiaries, nor any affiliates of the Company or its Subsidiaries, has taken, directly, or indirectly, and neither the Company nor any of the Subsidiaries, nor any affiliates of the Company or its Subsidiaries, will take, directly or indirectly, any action designed to cause or result in, or which constitutes or might reasonably be expected to constitute, the stabilization or manipulation of the price of any security of the Company or any “reference security” (as defined in Rule 100 of Regulation M under the Exchange Act) to facilitate the sale or resale of the Securities or otherwise, and has taken no action which would directly or indirectly violate Regulation M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caps w:val="false"/>
          <w:smallCaps w:val="false"/>
          <w:sz w:val="20"/>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caps w:val="false"/>
          <w:smallCaps w:val="false"/>
          <w:sz w:val="20"/>
        </w:rPr>
        <w:t xml:space="preserve">Statistical and Market Data. </w:t>
      </w:r>
      <w:r>
        <w:rPr>
          <w:rFonts w:ascii="Times New Roman;Times;Serif" w:hAnsi="Times New Roman;Times;Serif"/>
          <w:b w:val="false"/>
          <w:i w:val="false"/>
          <w:caps w:val="false"/>
          <w:smallCaps w:val="false"/>
          <w:sz w:val="20"/>
        </w:rPr>
        <w:t>Nothing has come to the attention of the Company that has caused the Company to believe that any statistical and market-related data included or incorporated by reference in each of the Registration Statement, the Pricing Disclosure Package and the Prospectus are not based on or derived from sources that the Company reasonably believes are reliable and accurate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caps w:val="false"/>
          <w:smallCaps w:val="false"/>
          <w:sz w:val="20"/>
        </w:rPr>
        <w:t xml:space="preserve">Sarbanes-Oxley Act. </w:t>
      </w:r>
      <w:r>
        <w:rPr>
          <w:rFonts w:ascii="Times New Roman;Times;Serif" w:hAnsi="Times New Roman;Times;Serif"/>
          <w:b w:val="false"/>
          <w:i w:val="false"/>
          <w:caps w:val="false"/>
          <w:smallCaps w:val="false"/>
          <w:sz w:val="20"/>
        </w:rPr>
        <w:t>To the extent applicable to the Company on the date hereof, there is and has been no failure on the part of the Company or any of the Company’s directors or officers, in their capacities as such, to comply with any provision of the Sarbanes-Oxley Act of 2002, as amended, and the rules and regulations promulgated in connection therewith, including Section 402 related to loans and Sections 302 and 906 related to certifications;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caps w:val="false"/>
          <w:smallCaps w:val="false"/>
          <w:sz w:val="20"/>
        </w:rPr>
        <w:t xml:space="preserve">Rule 38a-1 Compliance. </w:t>
      </w:r>
      <w:r>
        <w:rPr>
          <w:rFonts w:ascii="Times New Roman;Times;Serif" w:hAnsi="Times New Roman;Times;Serif"/>
          <w:b w:val="false"/>
          <w:i w:val="false"/>
          <w:caps w:val="false"/>
          <w:smallCaps w:val="false"/>
          <w:sz w:val="20"/>
        </w:rPr>
        <w:t>The Company has (i) appointed a Chief Compliance Officer and (ii) adopted and implemented written policies and procedures reasonably designed to prevent violation of the Federal Securities Laws (as that term is defined in Rule 38a-1 under the Investment Company Act) by the Company, including policies and procedures that provide oversight of compliance for each administrator and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caps w:val="false"/>
          <w:smallCaps w:val="false"/>
          <w:sz w:val="20"/>
        </w:rPr>
        <w:t xml:space="preserve">Regulated Investment Company. </w:t>
      </w:r>
      <w:r>
        <w:rPr>
          <w:rFonts w:ascii="Times New Roman;Times;Serif" w:hAnsi="Times New Roman;Times;Serif"/>
          <w:b w:val="false"/>
          <w:i w:val="false"/>
          <w:caps w:val="false"/>
          <w:smallCaps w:val="false"/>
          <w:sz w:val="20"/>
        </w:rPr>
        <w:t>The Company has elected (which election has not been revoked) to be treated, and has operated, and intends to operate its business in such a manner as to enable the Company to continue to qualify as a regulated investment company under Subchapter M of the Code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caps w:val="false"/>
          <w:smallCaps w:val="false"/>
          <w:sz w:val="20"/>
        </w:rPr>
        <w:t xml:space="preserve">Cybersecurity. </w:t>
      </w:r>
      <w:r>
        <w:rPr>
          <w:rFonts w:ascii="Times New Roman;Times;Serif" w:hAnsi="Times New Roman;Times;Serif"/>
          <w:b w:val="false"/>
          <w:i w:val="false"/>
          <w:caps w:val="false"/>
          <w:smallCaps w:val="false"/>
          <w:sz w:val="20"/>
        </w:rPr>
        <w:t>The Company and the Subsidiaries have a valid right to access and use all computer systems, networks, hardware, software, databases, websites and equipment used to process, store, maintain and operate data, information and functions used in connection with the business of the Company and the Subsidiaries (the “IT Systems”); the IT Systems are reasonably adequate for, and operate and perform in all material respects as required in connection with, the operation of the business of the Company and the Subsidiaries as currently conducted, free and clear, to the Company’s knowledge, of all bugs, errors, defects, Trojan horses, time bombs, malware and other corruptants, except, in each case, as would not reasonably be expected to, individually or in the aggregate, have a Material Adverse Effect. The Company and the Subsidiaries have implemented and maintain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to the Company’s knowledge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(ww) </w:t>
      </w:r>
      <w:r>
        <w:rPr>
          <w:rFonts w:ascii="Times New Roman;Times;Serif" w:hAnsi="Times New Roman;Times;Serif"/>
          <w:b w:val="false"/>
          <w:i/>
          <w:caps w:val="false"/>
          <w:smallCaps w:val="false"/>
          <w:sz w:val="20"/>
        </w:rPr>
        <w:t>No Reliance</w:t>
      </w:r>
      <w:r>
        <w:rPr>
          <w:rFonts w:ascii="Times New Roman;Times;Serif" w:hAnsi="Times New Roman;Times;Serif"/>
          <w:b w:val="false"/>
          <w:i w:val="false"/>
          <w:caps w:val="false"/>
          <w:smallCaps w:val="false"/>
          <w:sz w:val="20"/>
        </w:rPr>
        <w:t>. The Company has not relied upon the Underwriters or legal counsel for the Underwriters for any legal, tax or accounting advice in connection with the offering and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w:t>
      </w:r>
      <w:r>
        <w:rPr>
          <w:rFonts w:ascii="Times New Roman;Times;Serif" w:hAnsi="Times New Roman;Times;Serif"/>
          <w:b w:val="false"/>
          <w:i/>
          <w:caps w:val="false"/>
          <w:smallCaps w:val="false"/>
          <w:sz w:val="20"/>
        </w:rPr>
        <w:t>FINRA</w:t>
      </w:r>
      <w:r>
        <w:rPr>
          <w:rFonts w:ascii="Times New Roman;Times;Serif" w:hAnsi="Times New Roman;Times;Serif"/>
          <w:b w:val="false"/>
          <w:i w:val="false"/>
          <w:caps w:val="false"/>
          <w:smallCaps w:val="false"/>
          <w:sz w:val="20"/>
        </w:rPr>
        <w:t>. None of the Company, the Subsidiaries, or their respective controlled affiliates (i) is required to register as a “broker” or “dealer” in accordance with the provisions of the Exchange Act, or (ii) directly, or indirectly through one or more intermediaries, controls or has any other association with (within the meaning of Article 1 of the Bylaws of FINRA) any member firm of FINRA;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(yy)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The Company is in compliance in all material respects with all presently applicable provisions of ERISA; no “reportable event” (as defined in ERISA) has occurred with respect to any “pension plan” (as defined in ERISA) for which the Company would have any liability; the Company has not incurred and does not expect to incur liability under (i) Title IV of ERISA with respect to termination of, or withdrawal from, any “pension plan” or (ii) Section 412 or 4971 of the Internal Revenue Code of 1986, as amended, including the regulations and published interpretations thereunder (the “Code”); each “pension plan” for which the Company would have any liability that is intended to be qualified under Section 401(a) of the Code is so qualified and nothing has occurred, whether by action or by failure to act, which would cause the loss of such qualification; and participation by “benefit plan investors” in the Company has at no time been “significant” for purposes of Section 2510.3-101(f) of the Regulations of the U.S. Department of Labor, as modified by Section 3(42)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(zz) </w:t>
      </w:r>
      <w:r>
        <w:rPr>
          <w:rFonts w:ascii="Times New Roman;Times;Serif" w:hAnsi="Times New Roman;Times;Serif"/>
          <w:b w:val="false"/>
          <w:i/>
          <w:caps w:val="false"/>
          <w:smallCaps w:val="false"/>
          <w:sz w:val="20"/>
        </w:rPr>
        <w:t>No Labor Disputes</w:t>
      </w:r>
      <w:r>
        <w:rPr>
          <w:rFonts w:ascii="Times New Roman;Times;Serif" w:hAnsi="Times New Roman;Times;Serif"/>
          <w:b w:val="false"/>
          <w:i w:val="false"/>
          <w:caps w:val="false"/>
          <w:smallCaps w:val="false"/>
          <w:sz w:val="20"/>
        </w:rPr>
        <w:t>. No labor disturbance by or dispute with employees of the Company or any Subsidiary exists or, to the knowledge of the Company, is threatened, which would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(aaa) </w:t>
      </w:r>
      <w:r>
        <w:rPr>
          <w:rFonts w:ascii="Times New Roman;Times;Serif" w:hAnsi="Times New Roman;Times;Serif"/>
          <w:b w:val="false"/>
          <w:i/>
          <w:caps w:val="false"/>
          <w:smallCaps w:val="false"/>
          <w:sz w:val="20"/>
        </w:rPr>
        <w:t>Certificates</w:t>
      </w:r>
      <w:r>
        <w:rPr>
          <w:rFonts w:ascii="Times New Roman;Times;Serif" w:hAnsi="Times New Roman;Times;Serif"/>
          <w:b w:val="false"/>
          <w:i w:val="false"/>
          <w:caps w:val="false"/>
          <w:smallCaps w:val="false"/>
          <w:sz w:val="20"/>
        </w:rPr>
        <w:t>. Any certificate signed by any officer of the Company delivered to the Representatives or to counsel for the Underwriters pursuant to or in connection with this Agreement shall be deemed a representation and warranty by the Company to the Underwriters as to the matters covered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(bbb) </w:t>
      </w:r>
      <w:r>
        <w:rPr>
          <w:rFonts w:ascii="Times New Roman;Times;Serif" w:hAnsi="Times New Roman;Times;Serif"/>
          <w:b w:val="false"/>
          <w:i/>
          <w:caps w:val="false"/>
          <w:smallCaps w:val="false"/>
          <w:sz w:val="20"/>
        </w:rPr>
        <w:t>Off-Balance Sheet Transactions</w:t>
      </w:r>
      <w:r>
        <w:rPr>
          <w:rFonts w:ascii="Times New Roman;Times;Serif" w:hAnsi="Times New Roman;Times;Serif"/>
          <w:b w:val="false"/>
          <w:i w:val="false"/>
          <w:caps w:val="false"/>
          <w:smallCaps w:val="false"/>
          <w:sz w:val="20"/>
        </w:rPr>
        <w:t>. Except as otherwise disclosed in the Registration Statement, the Pricing Disclosure Package and the Prospectus, the Company and its consolidated Subsidiaries have no off-balance sheet transactions, arrangements, obligations (including contingent obligations), or any other similar relationships with unconsolidated entities or other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(ccc) </w:t>
      </w:r>
      <w:r>
        <w:rPr>
          <w:rFonts w:ascii="Times New Roman;Times;Serif" w:hAnsi="Times New Roman;Times;Serif"/>
          <w:b w:val="false"/>
          <w:i/>
          <w:caps w:val="false"/>
          <w:smallCaps w:val="false"/>
          <w:sz w:val="20"/>
        </w:rPr>
        <w:t xml:space="preserve">Material Assets. </w:t>
      </w:r>
      <w:r>
        <w:rPr>
          <w:rFonts w:ascii="Times New Roman;Times;Serif" w:hAnsi="Times New Roman;Times;Serif"/>
          <w:b w:val="false"/>
          <w:i w:val="false"/>
          <w:caps w:val="false"/>
          <w:smallCaps w:val="false"/>
          <w:sz w:val="20"/>
        </w:rPr>
        <w:t>Except such as are disclosed in the Registration Statement, the Pricing Disclosure Package and the Prospectus, as of the Closing Date, the Company and the Subsidiaries will possess, or have the right to use, all of the material assets, tangible and intangible, that they require to conduct their respective businesses as presently conducted, and there are no material assets reasonably necessary for the conduct of their businesses as presently conducted that will not be transferred, licensed or leased to them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(ddd) </w:t>
      </w:r>
      <w:r>
        <w:rPr>
          <w:rFonts w:ascii="Times New Roman;Times;Serif" w:hAnsi="Times New Roman;Times;Serif"/>
          <w:b w:val="false"/>
          <w:i/>
          <w:caps w:val="false"/>
          <w:smallCaps w:val="false"/>
          <w:sz w:val="20"/>
        </w:rPr>
        <w:t>Relationships</w:t>
      </w:r>
      <w:r>
        <w:rPr>
          <w:rFonts w:ascii="Times New Roman;Times;Serif" w:hAnsi="Times New Roman;Times;Serif"/>
          <w:b w:val="false"/>
          <w:i w:val="false"/>
          <w:caps w:val="false"/>
          <w:smallCaps w:val="false"/>
          <w:sz w:val="20"/>
        </w:rPr>
        <w:t>. No relationship, direct or indirect, exists between or among the Company or any Subsidiary, on the one hand, and the directors, officers, stockholders, customers or suppliers of the Company or any Subsidiary, on the other hand, which would be required by the Securities Act to be described in a prospectus included or incorporated by reference in a registration statement on Form N-2 under the Securities Act, which is not so described in the Registration Statement, the Pricing Disclosure Package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(eee) </w:t>
      </w:r>
      <w:r>
        <w:rPr>
          <w:rFonts w:ascii="Times New Roman;Times;Serif" w:hAnsi="Times New Roman;Times;Serif"/>
          <w:b w:val="false"/>
          <w:i/>
          <w:caps w:val="false"/>
          <w:smallCaps w:val="false"/>
          <w:sz w:val="20"/>
        </w:rPr>
        <w:t xml:space="preserve">Related Party Transactions. </w:t>
      </w:r>
      <w:r>
        <w:rPr>
          <w:rFonts w:ascii="Times New Roman;Times;Serif" w:hAnsi="Times New Roman;Times;Serif"/>
          <w:b w:val="false"/>
          <w:i w:val="false"/>
          <w:caps w:val="false"/>
          <w:smallCaps w:val="false"/>
          <w:sz w:val="20"/>
        </w:rPr>
        <w:t>Except as disclosed in the Registration Statement, the Pricing Disclosure Package and the Prospectus under the caption “Certain Relationships and Related Party Transactions,” the Company and its Subsidiaries have not entered into any transaction with any person which are required to be disclosed under Item 404 of Regulation S-K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(fff) </w:t>
      </w:r>
      <w:r>
        <w:rPr>
          <w:rFonts w:ascii="Times New Roman;Times;Serif" w:hAnsi="Times New Roman;Times;Serif"/>
          <w:b w:val="false"/>
          <w:i/>
          <w:caps w:val="false"/>
          <w:smallCaps w:val="false"/>
          <w:sz w:val="20"/>
        </w:rPr>
        <w:t>Compliance with Securities Laws and Regulations</w:t>
      </w:r>
      <w:r>
        <w:rPr>
          <w:rFonts w:ascii="Times New Roman;Times;Serif" w:hAnsi="Times New Roman;Times;Serif"/>
          <w:b w:val="false"/>
          <w:i w:val="false"/>
          <w:caps w:val="false"/>
          <w:smallCaps w:val="false"/>
          <w:sz w:val="20"/>
        </w:rPr>
        <w:t>. This Agreement complies in all material respects with all applicable provisions of the Securities Act, the Investment Company Act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(ggg) </w:t>
      </w:r>
      <w:r>
        <w:rPr>
          <w:rFonts w:ascii="Times New Roman;Times;Serif" w:hAnsi="Times New Roman;Times;Serif"/>
          <w:b w:val="false"/>
          <w:i/>
          <w:caps w:val="false"/>
          <w:smallCaps w:val="false"/>
          <w:sz w:val="20"/>
        </w:rPr>
        <w:t>Offering Materials</w:t>
      </w:r>
      <w:r>
        <w:rPr>
          <w:rFonts w:ascii="Times New Roman;Times;Serif" w:hAnsi="Times New Roman;Times;Serif"/>
          <w:b w:val="false"/>
          <w:i w:val="false"/>
          <w:caps w:val="false"/>
          <w:smallCaps w:val="false"/>
          <w:sz w:val="20"/>
        </w:rPr>
        <w:t>. The Company has not distributed and will not distribute, prior to the later of the Closing Date and the completion of the Underwriters’ distribution of the Securities, any offering material in connection with the offering and sale of the Securities other than the Registration Statement, the Preliminary Prospectus contained in the Pricing Disclosure Package, the Prospectus, any Issuer Free Writing Prospectus reviewed and consented to by the Representatives and included in Schedule 2 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(hhh) </w:t>
      </w:r>
      <w:r>
        <w:rPr>
          <w:rFonts w:ascii="Times New Roman;Times;Serif" w:hAnsi="Times New Roman;Times;Serif"/>
          <w:b w:val="false"/>
          <w:i/>
          <w:caps w:val="false"/>
          <w:smallCaps w:val="false"/>
          <w:sz w:val="20"/>
        </w:rPr>
        <w:t>Prior Sales</w:t>
      </w:r>
      <w:r>
        <w:rPr>
          <w:rFonts w:ascii="Times New Roman;Times;Serif" w:hAnsi="Times New Roman;Times;Serif"/>
          <w:b w:val="false"/>
          <w:i w:val="false"/>
          <w:caps w:val="false"/>
          <w:smallCaps w:val="false"/>
          <w:sz w:val="20"/>
        </w:rPr>
        <w:t>. All offers and sales of the Company’s capital stock and debt or other securities prior to the date hereof were made in compliance with or were the subject of an available exemption from the Securities Act and all other applicable state and federal laws or regulations, or any actions under the Securities Act or any state or federal laws or regulations in respect of any such offers or sales are effectively barred by effective waivers or statutes of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Reserved</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Further Agreements of the Company</w:t>
      </w:r>
      <w:r>
        <w:rPr>
          <w:rFonts w:ascii="Times New Roman;Times;Serif" w:hAnsi="Times New Roman;Times;Serif"/>
          <w:b w:val="false"/>
          <w:i w:val="false"/>
          <w:caps w:val="false"/>
          <w:smallCaps w:val="false"/>
          <w:sz w:val="20"/>
        </w:rPr>
        <w:t>. The Company covenants and agrees with each Underwriter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Required Filings.</w:t>
      </w:r>
      <w:r>
        <w:rPr>
          <w:rFonts w:ascii="Times New Roman;Times;Serif" w:hAnsi="Times New Roman;Times;Serif"/>
          <w:b w:val="false"/>
          <w:i w:val="false"/>
          <w:caps w:val="false"/>
          <w:smallCaps w:val="false"/>
          <w:sz w:val="20"/>
        </w:rPr>
        <w:t xml:space="preserve"> The Company will file the final Prospectus with the Commission within the time periods specified by Rule 424 and Rule 430B under the Securities Act; will file any Issuer Free Writing Prospectus (including the Pricing Term Sheet referred to in Annex A hereto) to the extent required by Rule 433 and/or Rule 497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and each Issuer Free Writing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 The Company has paid the registration fee for this offering pursuant to Rule 457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Delivery of Copies.</w:t>
      </w:r>
      <w:r>
        <w:rPr>
          <w:rFonts w:ascii="Times New Roman;Times;Serif" w:hAnsi="Times New Roman;Times;Serif"/>
          <w:b w:val="false"/>
          <w:i w:val="false"/>
          <w:caps w:val="false"/>
          <w:smallCaps w:val="false"/>
          <w:sz w:val="20"/>
        </w:rPr>
        <w:t xml:space="preserve"> The Company will deliver, without charge, (i) to the Representatives, electronic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Amendments or Supplements.</w:t>
      </w:r>
      <w:r>
        <w:rPr>
          <w:rFonts w:ascii="Times New Roman;Times;Serif" w:hAnsi="Times New Roman;Times;Serif"/>
          <w:b w:val="false"/>
          <w:i w:val="false"/>
          <w:caps w:val="false"/>
          <w:smallCaps w:val="false"/>
          <w:sz w:val="20"/>
        </w:rPr>
        <w:t xml:space="preserve"> Before using, authorizing, approving, referring to, or filing any amendment or supplement to the Registration 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Notice to the Representatives.</w:t>
      </w:r>
      <w:r>
        <w:rPr>
          <w:rFonts w:ascii="Times New Roman;Times;Serif" w:hAnsi="Times New Roman;Times;Serif"/>
          <w:b w:val="false"/>
          <w:i w:val="false"/>
          <w:caps w:val="false"/>
          <w:smallCaps w:val="false"/>
          <w:sz w:val="20"/>
        </w:rPr>
        <w:t xml:space="preserve"> The Company will advise the Representatives promptly, and confirm such advice in writing, (i) when any 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Securities and, if any such order is issued, will use commercially reasonable efforts to obtain as soon as possible the withdrawal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Ongoing Compliance.</w:t>
      </w:r>
      <w:r>
        <w:rPr>
          <w:rFonts w:ascii="Times New Roman;Times;Serif" w:hAnsi="Times New Roman;Times;Serif"/>
          <w:b w:val="false"/>
          <w:i w:val="false"/>
          <w:caps w:val="false"/>
          <w:smallCaps w:val="false"/>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Blue Sky Compliance.</w:t>
      </w:r>
      <w:r>
        <w:rPr>
          <w:rFonts w:ascii="Times New Roman;Times;Serif" w:hAnsi="Times New Roman;Times;Serif"/>
          <w:b w:val="false"/>
          <w:i w:val="false"/>
          <w:caps w:val="false"/>
          <w:smallCaps w:val="false"/>
          <w:sz w:val="20"/>
        </w:rPr>
        <w:t xml:space="preserve"> The Company will use commercially reasonable efforts, in cooperation with the Representatives, to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Earning Statement</w:t>
      </w:r>
      <w:r>
        <w:rPr>
          <w:rFonts w:ascii="Times New Roman;Times;Serif" w:hAnsi="Times New Roman;Times;Serif"/>
          <w:b w:val="false"/>
          <w:i w:val="false"/>
          <w:caps w:val="false"/>
          <w:smallCaps w:val="false"/>
          <w:sz w:val="20"/>
        </w:rPr>
        <w:t xml:space="preserve">. 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Company will be deemed to have complied with such requirement by filing such an earning statement on the Commission’s Electronic Data Gathering, Analysis, and Retrieval system (or any successor system) (“EDGAR”).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Clear Market.</w:t>
      </w:r>
      <w:r>
        <w:rPr>
          <w:rFonts w:ascii="Times New Roman;Times;Serif" w:hAnsi="Times New Roman;Times;Serif"/>
          <w:b w:val="false"/>
          <w:i w:val="false"/>
          <w:caps w:val="false"/>
          <w:smallCaps w:val="false"/>
          <w:sz w:val="20"/>
        </w:rPr>
        <w:t xml:space="preserve"> Through the Closing Date, the Company will not offer, sell, contract to sell, pledge, grant any option to purchase, make any short sale or otherwise transfer or dispose of, directly or indirectly, or file with or confidentially submit to the Commission a registration statement under the Securities Act relating to any securities of the Company that are substantially similar to the Securities, or publicly disclose the intention to make any such offer, sale, pledge, disposition or filing, without the prior written consent of the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The Company will apply the net proceeds from the sale of the Securities in all material respects as described in the Pricing Disclosure Package and the Prospectus under the heading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xml:space="preserve"> The Company will cooperate with the Representatives and use its commercially reasonable efforts to permit the offered Securities to be eligible for clearance and settlement through the facilities of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No Stabilization or Manipulation.</w:t>
      </w:r>
      <w:r>
        <w:rPr>
          <w:rFonts w:ascii="Times New Roman;Times;Serif" w:hAnsi="Times New Roman;Times;Serif"/>
          <w:b w:val="false"/>
          <w:i w:val="false"/>
          <w:caps w:val="false"/>
          <w:smallCaps w:val="false"/>
          <w:sz w:val="20"/>
        </w:rPr>
        <w:t xml:space="preserve"> The Company will not take, directly or indirectly, without giving effect to any activities by the Underwriters, any action designed, or that would reasonably be expected, to cause or result in any stabilization or manipulation of the price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xml:space="preserve"> For a period of one year from the date of this Agreement, so long as the Securities are outstanding, the Company will furnish to the Representatives,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Company will be deemed to have furnished such reports and financial statements to the Representatives to the extent they are filed on EDGAR.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Business Development Company</w:t>
      </w:r>
      <w:r>
        <w:rPr>
          <w:rFonts w:ascii="Times New Roman;Times;Serif" w:hAnsi="Times New Roman;Times;Serif"/>
          <w:b w:val="false"/>
          <w:i w:val="false"/>
          <w:caps w:val="false"/>
          <w:smallCaps w:val="false"/>
          <w:sz w:val="20"/>
        </w:rPr>
        <w:t xml:space="preserve">. The Company, during a period of twelve months from the date of the Prospectus, will use commercially reasonable efforts to maintain its status as a business development company under the Investment Company Act;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Regulated Investment Company.</w:t>
      </w:r>
      <w:r>
        <w:rPr>
          <w:rFonts w:ascii="Times New Roman;Times;Serif" w:hAnsi="Times New Roman;Times;Serif"/>
          <w:b w:val="false"/>
          <w:i w:val="false"/>
          <w:caps w:val="false"/>
          <w:smallCaps w:val="false"/>
          <w:sz w:val="20"/>
        </w:rPr>
        <w:t xml:space="preserve"> During the twelve-month period following the Closing Date, the Company will use commercially reasonable efforts to conform with the applicable requirements to be treated as a regulated investment company under Subchapter M of the Code for each taxable year during which it is a business development company under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caps w:val="false"/>
          <w:smallCaps w:val="false"/>
          <w:sz w:val="20"/>
        </w:rPr>
        <w:t xml:space="preserve">Annual Compliance Reviews. </w:t>
      </w:r>
      <w:r>
        <w:rPr>
          <w:rFonts w:ascii="Times New Roman;Times;Serif" w:hAnsi="Times New Roman;Times;Serif"/>
          <w:b w:val="false"/>
          <w:i w:val="false"/>
          <w:caps w:val="false"/>
          <w:smallCaps w:val="false"/>
          <w:sz w:val="20"/>
        </w:rPr>
        <w:t>The Company will retain qualified accountants and qualified tax experts to (i) test procedures and 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rPr>
        <w:t xml:space="preserve">Accounting Controls. </w:t>
      </w:r>
      <w:r>
        <w:rPr>
          <w:rFonts w:ascii="Times New Roman;Times;Serif" w:hAnsi="Times New Roman;Times;Serif"/>
          <w:b w:val="false"/>
          <w:i w:val="false"/>
          <w:caps w:val="false"/>
          <w:smallCaps w:val="false"/>
          <w:sz w:val="20"/>
        </w:rPr>
        <w:t>The Company has established and will maintain a system of internal accounting 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Company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caps w:val="false"/>
          <w:smallCaps w:val="false"/>
          <w:sz w:val="20"/>
        </w:rPr>
        <w:t>Issuer Free Writing Prospectus</w:t>
      </w:r>
      <w:r>
        <w:rPr>
          <w:rFonts w:ascii="Times New Roman;Times;Serif" w:hAnsi="Times New Roman;Times;Serif"/>
          <w:b w:val="false"/>
          <w:i w:val="false"/>
          <w:caps w:val="false"/>
          <w:smallCaps w:val="false"/>
          <w:sz w:val="20"/>
        </w:rPr>
        <w:t>. The Company represents and agrees that, without the prior consent of the Representatives (i) it will not distribute any offering material other than the Registration Statement, the Pricing Disclosure Package, the Prospectus or the information set forth on Schedule 2 hereto, and (ii) it has not made and will not make any offer 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 show or investor presentations (including slides and scripts relating thereto) made to investors by or on behalf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Certain Agreements of the Underwriters</w:t>
      </w:r>
      <w:r>
        <w:rPr>
          <w:rFonts w:ascii="Times New Roman;Times;Serif" w:hAnsi="Times New Roman;Times;Serif"/>
          <w:b w:val="false"/>
          <w:i w:val="false"/>
          <w:caps w:val="false"/>
          <w:smallCaps w:val="false"/>
          <w:sz w:val="20"/>
        </w:rPr>
        <w:t>. Each Underwriter hereby represents, warrants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the Prospectus, or any other offering materials prepared by or with the prior written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xml:space="preserve"> The obligation of each Underwriter to purchase the Securities on the Closing Date as provided herein is subject to the performance by the Company of its covenants and other obligations hereunder and to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Registration Compliance; No Stop Order.</w:t>
      </w:r>
      <w:r>
        <w:rPr>
          <w:rFonts w:ascii="Times New Roman;Times;Serif" w:hAnsi="Times New Roman;Times;Serif"/>
          <w:b w:val="false"/>
          <w:i w:val="false"/>
          <w:caps w:val="false"/>
          <w:smallCaps w:val="false"/>
          <w:sz w:val="20"/>
        </w:rPr>
        <w:t xml:space="preserve"> No order suspending the effectiveness of the Registration Statement or any post-effective amendment thereto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and/or Rule 497 under the Securities Act) and in accordance with Section 5(a) hereof; and all requests by the Commission for additional information shall have been complied with to the reasonable satisfaction of the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of the Company contained herein shall be true and correct on the date hereof and on and as of the Closing Date; and the statements of the Company and its officers made in any certificates delivered pursuant to this Agreement shall be true and correct on and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No event or condition of a type described in Section 3(h)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Closing Date, on the terms and in the manner contemplated by this Agreement, the Pricing Disclosure Package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Company’s Officers’ Certificate.</w:t>
      </w:r>
      <w:r>
        <w:rPr>
          <w:rFonts w:ascii="Times New Roman;Times;Serif" w:hAnsi="Times New Roman;Times;Serif"/>
          <w:b w:val="false"/>
          <w:i w:val="false"/>
          <w:caps w:val="false"/>
          <w:smallCaps w:val="false"/>
          <w:sz w:val="20"/>
        </w:rPr>
        <w:t xml:space="preserve"> The Representatives shall have received on and as of the Closing Date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Representatives (i) confirming that such officers have carefully reviewed the Registration Statement, the Pricing Disclosure Package and the Prospectus, (ii) confirming that, to the knowledge of such officers, the representations and warranties of the Company in this Agreement are true and correct and that the Company has complied with all agreements and satisfied all conditions on its part to be performed or satisfied hereunder at or prior to the Closing Date and (iii) with respect to the Company and its Subsidiaries, to the effect set forth in paragraph (c)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Comfort Letters.</w:t>
      </w:r>
      <w:r>
        <w:rPr>
          <w:rFonts w:ascii="Times New Roman;Times;Serif" w:hAnsi="Times New Roman;Times;Serif"/>
          <w:b w:val="false"/>
          <w:i w:val="false"/>
          <w:caps w:val="false"/>
          <w:smallCaps w:val="false"/>
          <w:sz w:val="20"/>
        </w:rPr>
        <w:t xml:space="preserve"> On the date of this Agreement and on the Closing Date, as applicable, Ernst &amp; 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shall use a “cut-off” date no more than three business days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Opinion and 10b-5 Statement of Counsel for the Company.</w:t>
      </w:r>
      <w:r>
        <w:rPr>
          <w:rFonts w:ascii="Times New Roman;Times;Serif" w:hAnsi="Times New Roman;Times;Serif"/>
          <w:b w:val="false"/>
          <w:i w:val="false"/>
          <w:caps w:val="false"/>
          <w:smallCaps w:val="false"/>
          <w:sz w:val="20"/>
        </w:rPr>
        <w:t xml:space="preserve"> Dechert LLP, counsel for the Company, shall have furnished to the Representatives, at the request of the Company, their written opinions and 10b-5 letter, dated the Closing Date, and addressed to the Underwriters, in form and substance reasonably satisfactory to the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Opinion and 10b-5 Statement of Counsel for the Underwriters.</w:t>
      </w:r>
      <w:r>
        <w:rPr>
          <w:rFonts w:ascii="Times New Roman;Times;Serif" w:hAnsi="Times New Roman;Times;Serif"/>
          <w:b w:val="false"/>
          <w:i w:val="false"/>
          <w:caps w:val="false"/>
          <w:smallCaps w:val="false"/>
          <w:sz w:val="20"/>
        </w:rPr>
        <w:t xml:space="preserve"> Ropes &amp; Gray LLP, counsel for the Underwriters, shall have furnished to the Representatives, their written opinions and 10b-5 letter, dated the Closing Date, and addressed to the Underwriters, in form and substance reasonably satisfactory to the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No Legal Impediment to Issuance.</w:t>
      </w:r>
      <w:r>
        <w:rPr>
          <w:rFonts w:ascii="Times New Roman;Times;Serif" w:hAnsi="Times New Roman;Times;Serif"/>
          <w:b w:val="false"/>
          <w:i w:val="false"/>
          <w:caps w:val="false"/>
          <w:smallCaps w:val="false"/>
          <w:sz w:val="20"/>
        </w:rPr>
        <w:t xml:space="preserve"> No action shall have been taken and no statute, rule, regulation, or order shall have been enacted, adopted, or issued by any federal, state, or foreign governmental or regulatory authority that would, as of the Closing Date, prevent the issuance and sale of the Securities; and no injunction or order of any federal, state, or foreign court shall have been issued that would, as of the Closing Date, prevent the issuance and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Good Standing</w:t>
      </w:r>
      <w:r>
        <w:rPr>
          <w:rFonts w:ascii="Times New Roman;Times;Serif" w:hAnsi="Times New Roman;Times;Serif"/>
          <w:b w:val="false"/>
          <w:i w:val="false"/>
          <w:caps w:val="false"/>
          <w:smallCaps w:val="false"/>
          <w:sz w:val="20"/>
        </w:rPr>
        <w:t>. The Representatives shall have received on and as of the Closing Date 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Ninth Supplemental Indenture and Securities</w:t>
      </w:r>
      <w:r>
        <w:rPr>
          <w:rFonts w:ascii="Times New Roman;Times;Serif" w:hAnsi="Times New Roman;Times;Serif"/>
          <w:b w:val="false"/>
          <w:i w:val="false"/>
          <w:caps w:val="false"/>
          <w:smallCaps w:val="false"/>
          <w:sz w:val="20"/>
        </w:rPr>
        <w:t>. On or prior to the Closing Date, the Company and the Trustee shall have executed and delivered the Ninth Supplemental Indenture and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No Downgrade</w:t>
      </w:r>
      <w:r>
        <w:rPr>
          <w:rFonts w:ascii="Times New Roman;Times;Serif" w:hAnsi="Times New Roman;Times;Serif"/>
          <w:b w:val="false"/>
          <w:i w:val="false"/>
          <w:caps w:val="false"/>
          <w:smallCaps w:val="false"/>
          <w:sz w:val="20"/>
        </w:rPr>
        <w:t>. Subsequent to the earlier of (A) the Applicable Time and (B) the execution and delivery of this Agreement, if there are any debt securities or preferred stock of, or guaranteed, by, the Company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xml:space="preserve"> On or prior to the Closing Date, the Company shall have furnished to the Representatives such further certificates and documents as the Representatives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Indemnification of the Underwriters.</w:t>
      </w:r>
      <w:r>
        <w:rPr>
          <w:rFonts w:ascii="Times New Roman;Times;Serif" w:hAnsi="Times New Roman;Times;Serif"/>
          <w:b w:val="false"/>
          <w:i w:val="false"/>
          <w:caps w:val="false"/>
          <w:smallCaps w:val="false"/>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Indemnification of the Company.</w:t>
      </w:r>
      <w:r>
        <w:rPr>
          <w:rFonts w:ascii="Times New Roman;Times;Serif" w:hAnsi="Times New Roman;Times;Serif"/>
          <w:b w:val="false"/>
          <w:i w:val="false"/>
          <w:caps w:val="false"/>
          <w:smallCaps w:val="false"/>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the fifth paragraph and the information regarding stabilizing transactions contained in the eleventh and twelfth paragraphs.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Notice and Procedures.</w:t>
      </w:r>
      <w:r>
        <w:rPr>
          <w:rFonts w:ascii="Times New Roman;Times;Serif" w:hAnsi="Times New Roman;Times;Serif"/>
          <w:b w:val="false"/>
          <w:i w:val="false"/>
          <w:caps w:val="false"/>
          <w:smallCaps w:val="false"/>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Limitation on Liability.</w:t>
      </w:r>
      <w:r>
        <w:rPr>
          <w:rFonts w:ascii="Times New Roman;Times;Serif" w:hAnsi="Times New Roman;Times;Serif"/>
          <w:b w:val="false"/>
          <w:i w:val="false"/>
          <w:caps w:val="false"/>
          <w:smallCaps w:val="false"/>
          <w:sz w:val="20"/>
        </w:rPr>
        <w:t xml:space="preserve"> The Company and the Underwriters agree that it would not be just and equitable if contribution pursuant to paragraph (d) above were determined by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Non-Exclusive Remedies.</w:t>
      </w:r>
      <w:r>
        <w:rPr>
          <w:rFonts w:ascii="Times New Roman;Times;Serif" w:hAnsi="Times New Roman;Times;Serif"/>
          <w:b w:val="false"/>
          <w:i w:val="false"/>
          <w:caps w:val="false"/>
          <w:smallCaps w:val="false"/>
          <w:sz w:val="20"/>
        </w:rPr>
        <w:t xml:space="preserve"> The remedies provided for in this Section 8 paragraphs (a) through (e) are not exclusive and shall not limit any rights or remedies which may otherwise be available to any Indemnified Person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Effectiveness of Agreement</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in the absolute discretion of the Representatives,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on the terms and in the manner contemplated by this Agreement, the Pricing Disclosure Package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Defaulting Underwriter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24 hours after any such default by any Underwriter, the non-defaulting Underwriters do not arrange for the purchase of such Securities, then the Company shall be entitled to a further period of 24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(based on the principal amount of Securities that such Underwriter agreed to purchase on such date) of the Securities of such defaulting Underwriter or Underwriters for which such arrangements have not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exceeds one-eleventh of the aggregate principal amount of Securities to be purchased on such date,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herein shall relieve a defaulting Underwriter of any liability it may have to the Company or any non-defaulting Underwriter for damages caused by its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all filing fees and the reasonable fees and expenses incurred in connection with any filing with, and clearance of the offering by, FINRA (such fees and expenses pursuant to this clause (v) and clause (iv), in the aggregate, shall not exceed $10,000); (vi) all expenses incurred by the Company in connection with any “road show” presentation to potential investors; and (vii) the fees and expenses of the Trustee with respect to the Securities.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all travel, lodging and other expenses of the Underwriters incurred by them in connection with any road show.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Persons Entitled to Benefit of Agreement</w:t>
      </w:r>
      <w:r>
        <w:rPr>
          <w:rFonts w:ascii="Times New Roman;Times;Serif" w:hAnsi="Times New Roman;Times;Serif"/>
          <w:b w:val="false"/>
          <w:i w:val="false"/>
          <w:caps w:val="false"/>
          <w:smallCaps w:val="false"/>
          <w:sz w:val="20"/>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Agreement, (a) except where otherwise expressly provided, the term “affiliate” has the meaning set forth in Rule 405 under the Securities Act; and (b) the term “business day” means any day other than a day on which banks are permitted or required to be closed in New York 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of 1950, as amended, and the regulations promulgated thereunder and (ii) Title II of the Dodd-Frank Wall Street Reform and Consumer Protection Act of 2010, as amended,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given if mailed or transmitted and confirmed by any standard form of telecommunication. Notices to the Underwriters shall be given to the Representatives c/o Keefe, Bruyette &amp; Woods, Inc., 787 7th Avenue, 4th Floor, New York, New York 10019, Attention: General Counsel; and MUFG Securities Americas Inc., 1221 Avenue of the Americas,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10020, Attention: Capital Markets Group (facsimile: (646 434 3455)), with a copy to Ropes &amp; Gray LLP, 1211 Avenue of the Americas, New York, NY 10036, Attn: Paul D. Tropp. Notices to the Company shall be given to it at Trinity Capital Inc., 1 N. 1st Street, Suite 302, Phoenix, Arizona 85004, Attention: Kyle Brown, with a copy to Dechert LLP, 1900 K Street, N.W., Washington, DC 20006, Attn: Darius I. Ravangard.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USA Patriot Act</w:t>
      </w:r>
      <w:r>
        <w:rPr>
          <w:rFonts w:ascii="Times New Roman;Times;Serif" w:hAnsi="Times New Roman;Times;Serif"/>
          <w:b w:val="false"/>
          <w:i w:val="false"/>
          <w:caps w:val="false"/>
          <w:smallCaps w:val="false"/>
          <w:sz w:val="20"/>
        </w:rPr>
        <w:t>. In accordance with the requirements of the USA Patriot Act, the Underwriters are required to obtain, verify and record information that identifies their clients, which may include the name and address of their clients, as well as other information that will allow the underwriters to properly identify their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This Agreement and any claim, controversy or dispute arising under or related to this Agreement shall be governed by and construed in accordance with the laws of the State of New York applicable to agreements made and to be performed in such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xml:space="preserve"> This Agreement may be signed in counterparts,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docusign.com)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Amendments or Waivers.</w:t>
      </w:r>
      <w:r>
        <w:rPr>
          <w:rFonts w:ascii="Times New Roman;Times;Serif" w:hAnsi="Times New Roman;Times;Serif"/>
          <w:b w:val="false"/>
          <w:i w:val="false"/>
          <w:caps w:val="false"/>
          <w:smallCaps w:val="false"/>
          <w:sz w:val="20"/>
        </w:rPr>
        <w:t xml:space="preserve">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xml:space="preserve"> The headings herein are included for convenience of reference only and are not intended to be part of, or to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Authority of the Representatives</w:t>
      </w:r>
      <w:r>
        <w:rPr>
          <w:rFonts w:ascii="Times New Roman;Times;Serif" w:hAnsi="Times New Roman;Times;Serif"/>
          <w:b w:val="false"/>
          <w:i w:val="false"/>
          <w:caps w:val="false"/>
          <w:smallCaps w:val="false"/>
          <w:sz w:val="20"/>
        </w:rPr>
        <w:t>. The Representatives are duly authorized to act hereunder on behalf of the other Underwriters. Any action by the Underwriters hereunder may be taken by the Representatives on behalf of the Underwriters, and any such action taken by the Representatives shall be binding on all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75"/>
        <w:gridCol w:w="320"/>
        <w:gridCol w:w="635"/>
        <w:gridCol w:w="5180"/>
      </w:tblGrid>
      <w:tr>
        <w:trPr/>
        <w:tc>
          <w:tcPr>
            <w:tcW w:w="75" w:type="dxa"/>
            <w:tcBorders/>
            <w:vAlign w:val="center"/>
          </w:tcPr>
          <w:p>
            <w:pPr>
              <w:pStyle w:val="TableContents"/>
              <w:bidi w:val="0"/>
              <w:spacing w:before="0" w:after="283"/>
              <w:jc w:val="left"/>
              <w:rPr/>
            </w:pPr>
            <w:r>
              <w:rPr/>
              <w:t> </w:t>
            </w:r>
          </w:p>
        </w:tc>
        <w:tc>
          <w:tcPr>
            <w:tcW w:w="6135"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613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35"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TRINITY CAPITAL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81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Kyle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5180" w:type="dxa"/>
            <w:tcBorders/>
            <w:vAlign w:val="center"/>
          </w:tcPr>
          <w:p>
            <w:pPr>
              <w:pStyle w:val="TableContents"/>
              <w:bidi w:val="0"/>
              <w:spacing w:before="0" w:after="283"/>
              <w:jc w:val="left"/>
              <w:rPr>
                <w:sz w:val="20"/>
              </w:rPr>
            </w:pPr>
            <w:r>
              <w:rPr>
                <w:sz w:val="20"/>
              </w:rPr>
              <w:t>Kyle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5180" w:type="dxa"/>
            <w:tcBorders/>
            <w:vAlign w:val="center"/>
          </w:tcPr>
          <w:p>
            <w:pPr>
              <w:pStyle w:val="TableContents"/>
              <w:bidi w:val="0"/>
              <w:spacing w:before="0" w:after="283"/>
              <w:jc w:val="left"/>
              <w:rPr>
                <w:sz w:val="20"/>
              </w:rPr>
            </w:pPr>
            <w:r>
              <w:rPr>
                <w:sz w:val="20"/>
              </w:rPr>
              <w:t>Chief Executive Officer, President and Chief Investment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961"/>
        <w:gridCol w:w="1692"/>
        <w:gridCol w:w="4490"/>
        <w:gridCol w:w="75"/>
      </w:tblGrid>
      <w:tr>
        <w:trPr/>
        <w:tc>
          <w:tcPr>
            <w:tcW w:w="7143" w:type="dxa"/>
            <w:gridSpan w:val="3"/>
            <w:tcBorders/>
            <w:vAlign w:val="center"/>
          </w:tcPr>
          <w:p>
            <w:pPr>
              <w:pStyle w:val="TableContents"/>
              <w:bidi w:val="0"/>
              <w:spacing w:before="0" w:after="283"/>
              <w:jc w:val="left"/>
              <w:rPr>
                <w:sz w:val="20"/>
              </w:rPr>
            </w:pPr>
            <w:r>
              <w:rPr>
                <w:sz w:val="20"/>
              </w:rPr>
              <w:t>Acting on behalf of themselves and the several Underwriters listed in Schedule 1 hereto.</w:t>
            </w:r>
          </w:p>
        </w:tc>
        <w:tc>
          <w:tcPr>
            <w:tcW w:w="75" w:type="dxa"/>
            <w:tcBorders/>
            <w:vAlign w:val="center"/>
          </w:tcPr>
          <w:p>
            <w:pPr>
              <w:pStyle w:val="TableContents"/>
              <w:bidi w:val="0"/>
              <w:spacing w:before="0" w:after="283"/>
              <w:jc w:val="left"/>
              <w:rPr/>
            </w:pPr>
            <w:r>
              <w:rPr/>
              <w:t> </w:t>
            </w:r>
          </w:p>
        </w:tc>
      </w:tr>
      <w:tr>
        <w:trPr/>
        <w:tc>
          <w:tcPr>
            <w:tcW w:w="7143"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14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KEEFE, BRUYETTE &amp; WOODS, INC.</w:t>
            </w:r>
          </w:p>
        </w:tc>
        <w:tc>
          <w:tcPr>
            <w:tcW w:w="75"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pPr>
            <w:r>
              <w:rPr/>
              <w:t> </w:t>
            </w:r>
          </w:p>
        </w:tc>
        <w:tc>
          <w:tcPr>
            <w:tcW w:w="618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sz w:val="20"/>
              </w:rPr>
            </w:pPr>
            <w:r>
              <w:rPr>
                <w:sz w:val="20"/>
              </w:rPr>
              <w:t>By:</w:t>
            </w:r>
          </w:p>
        </w:tc>
        <w:tc>
          <w:tcPr>
            <w:tcW w:w="6182"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Al Laufenberg</w:t>
            </w:r>
          </w:p>
        </w:tc>
        <w:tc>
          <w:tcPr>
            <w:tcW w:w="75"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pPr>
            <w:r>
              <w:rPr/>
              <w:t> </w:t>
            </w:r>
          </w:p>
        </w:tc>
        <w:tc>
          <w:tcPr>
            <w:tcW w:w="1692" w:type="dxa"/>
            <w:tcBorders/>
            <w:vAlign w:val="center"/>
          </w:tcPr>
          <w:p>
            <w:pPr>
              <w:pStyle w:val="TableContents"/>
              <w:bidi w:val="0"/>
              <w:spacing w:before="0" w:after="283"/>
              <w:jc w:val="left"/>
              <w:rPr>
                <w:sz w:val="20"/>
              </w:rPr>
            </w:pPr>
            <w:r>
              <w:rPr>
                <w:sz w:val="20"/>
              </w:rPr>
              <w:t>Name: </w:t>
            </w:r>
          </w:p>
        </w:tc>
        <w:tc>
          <w:tcPr>
            <w:tcW w:w="4490" w:type="dxa"/>
            <w:tcBorders/>
            <w:vAlign w:val="center"/>
          </w:tcPr>
          <w:p>
            <w:pPr>
              <w:pStyle w:val="TableContents"/>
              <w:bidi w:val="0"/>
              <w:spacing w:before="0" w:after="283"/>
              <w:jc w:val="left"/>
              <w:rPr>
                <w:sz w:val="20"/>
              </w:rPr>
            </w:pPr>
            <w:r>
              <w:rPr>
                <w:sz w:val="20"/>
              </w:rPr>
              <w:t>Al Laufenberg</w:t>
            </w:r>
          </w:p>
        </w:tc>
        <w:tc>
          <w:tcPr>
            <w:tcW w:w="75"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pPr>
            <w:r>
              <w:rPr/>
              <w:t> </w:t>
            </w:r>
          </w:p>
        </w:tc>
        <w:tc>
          <w:tcPr>
            <w:tcW w:w="1692" w:type="dxa"/>
            <w:tcBorders/>
            <w:vAlign w:val="center"/>
          </w:tcPr>
          <w:p>
            <w:pPr>
              <w:pStyle w:val="TableContents"/>
              <w:bidi w:val="0"/>
              <w:spacing w:before="0" w:after="283"/>
              <w:jc w:val="left"/>
              <w:rPr>
                <w:sz w:val="20"/>
              </w:rPr>
            </w:pPr>
            <w:r>
              <w:rPr>
                <w:sz w:val="20"/>
              </w:rPr>
              <w:t>Title:</w:t>
            </w:r>
          </w:p>
        </w:tc>
        <w:tc>
          <w:tcPr>
            <w:tcW w:w="4490"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r>
        <w:trPr/>
        <w:tc>
          <w:tcPr>
            <w:tcW w:w="7143" w:type="dxa"/>
            <w:gridSpan w:val="3"/>
            <w:tcBorders/>
            <w:vAlign w:val="center"/>
          </w:tcPr>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c>
          <w:tcPr>
            <w:tcW w:w="75"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pPr>
            <w:r>
              <w:rPr/>
              <w:t> </w:t>
            </w:r>
          </w:p>
        </w:tc>
        <w:tc>
          <w:tcPr>
            <w:tcW w:w="618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182" w:type="dxa"/>
            <w:gridSpan w:val="2"/>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Testa</w:t>
            </w:r>
          </w:p>
        </w:tc>
        <w:tc>
          <w:tcPr>
            <w:tcW w:w="75"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pPr>
            <w:r>
              <w:rPr/>
              <w:t> </w:t>
            </w:r>
          </w:p>
        </w:tc>
        <w:tc>
          <w:tcPr>
            <w:tcW w:w="1692" w:type="dxa"/>
            <w:tcBorders/>
            <w:vAlign w:val="center"/>
          </w:tcPr>
          <w:p>
            <w:pPr>
              <w:pStyle w:val="TableContents"/>
              <w:bidi w:val="0"/>
              <w:spacing w:before="0" w:after="283"/>
              <w:jc w:val="left"/>
              <w:rPr>
                <w:sz w:val="20"/>
              </w:rPr>
            </w:pPr>
            <w:r>
              <w:rPr>
                <w:sz w:val="20"/>
              </w:rPr>
              <w:t>Name:</w:t>
            </w:r>
          </w:p>
        </w:tc>
        <w:tc>
          <w:tcPr>
            <w:tcW w:w="4490" w:type="dxa"/>
            <w:tcBorders/>
            <w:vAlign w:val="center"/>
          </w:tcPr>
          <w:p>
            <w:pPr>
              <w:pStyle w:val="TableContents"/>
              <w:bidi w:val="0"/>
              <w:spacing w:before="0" w:after="283"/>
              <w:jc w:val="left"/>
              <w:rPr>
                <w:sz w:val="20"/>
              </w:rPr>
            </w:pPr>
            <w:r>
              <w:rPr>
                <w:sz w:val="20"/>
              </w:rPr>
              <w:t>Richard Testa</w:t>
            </w:r>
          </w:p>
        </w:tc>
        <w:tc>
          <w:tcPr>
            <w:tcW w:w="75"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pPr>
            <w:r>
              <w:rPr/>
              <w:t> </w:t>
            </w:r>
          </w:p>
        </w:tc>
        <w:tc>
          <w:tcPr>
            <w:tcW w:w="1692" w:type="dxa"/>
            <w:tcBorders/>
            <w:vAlign w:val="center"/>
          </w:tcPr>
          <w:p>
            <w:pPr>
              <w:pStyle w:val="TableContents"/>
              <w:bidi w:val="0"/>
              <w:spacing w:before="0" w:after="283"/>
              <w:jc w:val="left"/>
              <w:rPr>
                <w:sz w:val="20"/>
              </w:rPr>
            </w:pPr>
            <w:r>
              <w:rPr>
                <w:sz w:val="20"/>
              </w:rPr>
              <w:t>Title:</w:t>
            </w:r>
          </w:p>
        </w:tc>
        <w:tc>
          <w:tcPr>
            <w:tcW w:w="4490"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Securities to be paid by the several Underwriters shall be 98.104% of the aggregate principal amount thereof, plus accrued interest, if any, from October 5, 2026.</w:t>
      </w:r>
    </w:p>
    <w:p>
      <w:pPr>
        <w:pStyle w:val="TextBody"/>
        <w:bidi w:val="0"/>
        <w:spacing w:before="0" w:after="0"/>
        <w:ind w:left="0" w:right="0" w:hanging="0"/>
        <w:jc w:val="left"/>
        <w:rPr>
          <w:caps w:val="false"/>
          <w:smallCaps w:val="false"/>
        </w:rPr>
      </w:pPr>
      <w:r>
        <w:rPr>
          <w:caps w:val="false"/>
          <w:smallCaps w:val="false"/>
        </w:rPr>
        <w:t> </w:t>
      </w:r>
    </w:p>
    <w:tbl>
      <w:tblPr>
        <w:tblW w:w="6339" w:type="dxa"/>
        <w:jc w:val="left"/>
        <w:tblInd w:w="0" w:type="dxa"/>
        <w:tblLayout w:type="fixed"/>
        <w:tblCellMar>
          <w:top w:w="0" w:type="dxa"/>
          <w:left w:w="0" w:type="dxa"/>
          <w:bottom w:w="28" w:type="dxa"/>
          <w:right w:w="0" w:type="dxa"/>
        </w:tblCellMar>
      </w:tblPr>
      <w:tblGrid>
        <w:gridCol w:w="4190"/>
        <w:gridCol w:w="60"/>
        <w:gridCol w:w="207"/>
        <w:gridCol w:w="1807"/>
        <w:gridCol w:w="75"/>
      </w:tblGrid>
      <w:tr>
        <w:trPr/>
        <w:tc>
          <w:tcPr>
            <w:tcW w:w="4190" w:type="dxa"/>
            <w:tcBorders>
              <w:bottom w:val="single" w:sz="8" w:space="0" w:color="000000"/>
            </w:tcBorders>
            <w:vAlign w:val="center"/>
          </w:tcPr>
          <w:p>
            <w:pPr>
              <w:pStyle w:val="TableContents"/>
              <w:bidi w:val="0"/>
              <w:spacing w:before="0" w:after="283"/>
              <w:jc w:val="left"/>
              <w:rPr/>
            </w:pPr>
            <w:r>
              <w:rPr/>
              <w:t>Underwriter</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right"/>
              <w:rPr/>
            </w:pPr>
            <w:r>
              <w:rPr/>
              <w:t xml:space="preserve">Principal Amount of </w:t>
              <w:br/>
              <w:t>Securities to</w:t>
              <w:br/>
              <w:t>be Purchased</w:t>
            </w:r>
          </w:p>
        </w:tc>
        <w:tc>
          <w:tcPr>
            <w:tcW w:w="75" w:type="dxa"/>
            <w:tcBorders/>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Keefe, Bruyette &amp; Woods,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283"/>
              <w:jc w:val="right"/>
              <w:rPr/>
            </w:pPr>
            <w:r>
              <w:rPr/>
              <w:t>124,250,000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MUFG Securities Americas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w:t>
            </w:r>
          </w:p>
        </w:tc>
        <w:tc>
          <w:tcPr>
            <w:tcW w:w="1807" w:type="dxa"/>
            <w:tcBorders/>
            <w:shd w:fill="FFFFFF" w:val="clear"/>
            <w:tcMar>
              <w:bottom w:w="0" w:type="dxa"/>
            </w:tcMar>
            <w:vAlign w:val="center"/>
          </w:tcPr>
          <w:p>
            <w:pPr>
              <w:pStyle w:val="TableContents"/>
              <w:bidi w:val="0"/>
              <w:spacing w:before="0" w:after="283"/>
              <w:jc w:val="right"/>
              <w:rPr/>
            </w:pPr>
            <w:r>
              <w:rPr/>
              <w:t>124,250,000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KeyBanc Capital Markets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283"/>
              <w:jc w:val="right"/>
              <w:rPr/>
            </w:pPr>
            <w:r>
              <w:rPr/>
              <w:t>12,250,000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RBC Capital Markets,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w:t>
            </w:r>
          </w:p>
        </w:tc>
        <w:tc>
          <w:tcPr>
            <w:tcW w:w="1807" w:type="dxa"/>
            <w:tcBorders/>
            <w:shd w:fill="FFFFFF" w:val="clear"/>
            <w:tcMar>
              <w:bottom w:w="0" w:type="dxa"/>
            </w:tcMar>
            <w:vAlign w:val="center"/>
          </w:tcPr>
          <w:p>
            <w:pPr>
              <w:pStyle w:val="TableContents"/>
              <w:bidi w:val="0"/>
              <w:spacing w:before="0" w:after="283"/>
              <w:jc w:val="right"/>
              <w:rPr/>
            </w:pPr>
            <w:r>
              <w:rPr/>
              <w:t>12,250,000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R. Seelaus &amp; Co.,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283"/>
              <w:jc w:val="right"/>
              <w:rPr/>
            </w:pPr>
            <w:r>
              <w:rPr/>
              <w:t>12,250,000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Wedbush Securities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w:t>
            </w:r>
          </w:p>
        </w:tc>
        <w:tc>
          <w:tcPr>
            <w:tcW w:w="1807" w:type="dxa"/>
            <w:tcBorders/>
            <w:shd w:fill="FFFFFF" w:val="clear"/>
            <w:tcMar>
              <w:bottom w:w="0" w:type="dxa"/>
            </w:tcMar>
            <w:vAlign w:val="center"/>
          </w:tcPr>
          <w:p>
            <w:pPr>
              <w:pStyle w:val="TableContents"/>
              <w:bidi w:val="0"/>
              <w:spacing w:before="0" w:after="283"/>
              <w:jc w:val="right"/>
              <w:rPr/>
            </w:pPr>
            <w:r>
              <w:rPr/>
              <w:t>12,250,000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Citizens JMP Securities,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283"/>
              <w:jc w:val="right"/>
              <w:rPr/>
            </w:pPr>
            <w:r>
              <w:rPr/>
              <w:t>8,750,000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Hancock Whitney Investment Services,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w:t>
            </w:r>
          </w:p>
        </w:tc>
        <w:tc>
          <w:tcPr>
            <w:tcW w:w="1807" w:type="dxa"/>
            <w:tcBorders/>
            <w:shd w:fill="FFFFFF" w:val="clear"/>
            <w:tcMar>
              <w:bottom w:w="0" w:type="dxa"/>
            </w:tcMar>
            <w:vAlign w:val="center"/>
          </w:tcPr>
          <w:p>
            <w:pPr>
              <w:pStyle w:val="TableContents"/>
              <w:bidi w:val="0"/>
              <w:spacing w:before="0" w:after="283"/>
              <w:jc w:val="right"/>
              <w:rPr/>
            </w:pPr>
            <w:r>
              <w:rPr/>
              <w:t>8,750,000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Ladenburg Thalmann &amp; Co.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283"/>
              <w:jc w:val="right"/>
              <w:rPr/>
            </w:pPr>
            <w:r>
              <w:rPr/>
              <w:t>8,750,000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Lucid Capital Markets,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w:t>
            </w:r>
          </w:p>
        </w:tc>
        <w:tc>
          <w:tcPr>
            <w:tcW w:w="1807" w:type="dxa"/>
            <w:tcBorders/>
            <w:shd w:fill="FFFFFF" w:val="clear"/>
            <w:tcMar>
              <w:bottom w:w="0" w:type="dxa"/>
            </w:tcMar>
            <w:vAlign w:val="center"/>
          </w:tcPr>
          <w:p>
            <w:pPr>
              <w:pStyle w:val="TableContents"/>
              <w:bidi w:val="0"/>
              <w:spacing w:before="0" w:after="283"/>
              <w:jc w:val="right"/>
              <w:rPr/>
            </w:pPr>
            <w:r>
              <w:rPr/>
              <w:t>8,750,000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Oppenheimer &amp; Co.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283"/>
              <w:jc w:val="right"/>
              <w:rPr/>
            </w:pPr>
            <w:r>
              <w:rPr/>
              <w:t>8,750,000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Zions Direct,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w:t>
            </w:r>
          </w:p>
        </w:tc>
        <w:tc>
          <w:tcPr>
            <w:tcW w:w="1807" w:type="dxa"/>
            <w:tcBorders/>
            <w:shd w:fill="FFFFFF" w:val="clear"/>
            <w:tcMar>
              <w:bottom w:w="0" w:type="dxa"/>
            </w:tcMar>
            <w:vAlign w:val="center"/>
          </w:tcPr>
          <w:p>
            <w:pPr>
              <w:pStyle w:val="TableContents"/>
              <w:bidi w:val="0"/>
              <w:spacing w:before="0" w:after="283"/>
              <w:jc w:val="right"/>
              <w:rPr/>
            </w:pPr>
            <w:r>
              <w:rPr/>
              <w:t>8,750,000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283"/>
              <w:jc w:val="right"/>
              <w:rPr/>
            </w:pPr>
            <w:r>
              <w:rPr/>
              <w:t>350,000,000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20"/>
              </w:rPr>
            </w:pPr>
            <w:r>
              <w:rPr>
                <w:sz w:val="20"/>
              </w:rPr>
              <w:t>1.</w:t>
            </w:r>
          </w:p>
        </w:tc>
        <w:tc>
          <w:tcPr>
            <w:tcW w:w="9982" w:type="dxa"/>
            <w:tcBorders/>
            <w:vAlign w:val="center"/>
          </w:tcPr>
          <w:p>
            <w:pPr>
              <w:pStyle w:val="TableContents"/>
              <w:bidi w:val="0"/>
              <w:spacing w:before="0" w:after="283"/>
              <w:jc w:val="both"/>
              <w:rPr>
                <w:sz w:val="20"/>
              </w:rPr>
            </w:pPr>
            <w:r>
              <w:rPr>
                <w:sz w:val="20"/>
              </w:rPr>
              <w:t>Pricing Term Sheet, dated September 30, 2026, containing the terms governing the Securities, substantially in the form of Annex A to this Agreement filed with the Commission on September 30, 2026 pursuant to Rule 433.</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of the Company</w:t>
      </w:r>
    </w:p>
    <w:p>
      <w:pPr>
        <w:pStyle w:val="TextBody"/>
        <w:bidi w:val="0"/>
        <w:spacing w:before="0" w:after="0"/>
        <w:ind w:left="0" w:right="0" w:hanging="0"/>
        <w:jc w:val="center"/>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75"/>
        <w:gridCol w:w="170"/>
        <w:gridCol w:w="2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1.</w:t>
            </w:r>
          </w:p>
        </w:tc>
        <w:tc>
          <w:tcPr>
            <w:tcW w:w="2210" w:type="dxa"/>
            <w:tcBorders/>
            <w:vAlign w:val="center"/>
          </w:tcPr>
          <w:p>
            <w:pPr>
              <w:pStyle w:val="TableContents"/>
              <w:bidi w:val="0"/>
              <w:spacing w:before="0" w:after="283"/>
              <w:jc w:val="left"/>
              <w:rPr>
                <w:sz w:val="20"/>
              </w:rPr>
            </w:pPr>
            <w:r>
              <w:rPr>
                <w:sz w:val="20"/>
              </w:rPr>
              <w:t>TRINCAP FUNDING, LLC</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70"/>
        <w:gridCol w:w="2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2.</w:t>
            </w:r>
          </w:p>
        </w:tc>
        <w:tc>
          <w:tcPr>
            <w:tcW w:w="2810" w:type="dxa"/>
            <w:tcBorders/>
            <w:vAlign w:val="center"/>
          </w:tcPr>
          <w:p>
            <w:pPr>
              <w:pStyle w:val="TableContents"/>
              <w:bidi w:val="0"/>
              <w:spacing w:before="0" w:after="283"/>
              <w:jc w:val="left"/>
              <w:rPr>
                <w:sz w:val="20"/>
              </w:rPr>
            </w:pPr>
            <w:r>
              <w:rPr>
                <w:sz w:val="20"/>
              </w:rPr>
              <w:t>TRINCAP TERM FUNDING,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TERM SHEET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Trinity Capital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sets forth the final terms of the </w:t>
      </w:r>
      <w:r>
        <w:rPr>
          <w:rFonts w:ascii="Times New Roman;Times;Serif" w:hAnsi="Times New Roman;Times;Serif"/>
          <w:b/>
          <w:i w:val="false"/>
          <w:caps w:val="false"/>
          <w:smallCaps w:val="false"/>
          <w:sz w:val="20"/>
        </w:rPr>
        <w:t>7.500</w:t>
      </w:r>
      <w:r>
        <w:rPr>
          <w:rFonts w:ascii="Times New Roman;Times;Serif" w:hAnsi="Times New Roman;Times;Serif"/>
          <w:b w:val="false"/>
          <w:i w:val="false"/>
          <w:caps w:val="false"/>
          <w:smallCaps w:val="false"/>
          <w:sz w:val="20"/>
        </w:rPr>
        <w:t>% Notes due 2032 (the “Notes”) and should only be read together with the preliminary prospectus supplement of Trinity Capital Inc. (the “Issuer”) dated September 30, 2026, together with the accompanying prospectus dated August 11, 2025 (the “Preliminary Prospectus”), relating to the Notes,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pStyle w:val="TextBody"/>
        <w:bidi w:val="0"/>
        <w:spacing w:before="0" w:after="0"/>
        <w:ind w:left="0" w:right="0" w:firstLine="72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130"/>
        <w:gridCol w:w="1985"/>
      </w:tblGrid>
      <w:tr>
        <w:trPr/>
        <w:tc>
          <w:tcPr>
            <w:tcW w:w="1130" w:type="dxa"/>
            <w:tcBorders/>
            <w:vAlign w:val="center"/>
          </w:tcPr>
          <w:p>
            <w:pPr>
              <w:pStyle w:val="TableContents"/>
              <w:bidi w:val="0"/>
              <w:spacing w:before="0" w:after="283"/>
              <w:jc w:val="left"/>
              <w:rPr>
                <w:sz w:val="20"/>
              </w:rPr>
            </w:pPr>
            <w:r>
              <w:rPr>
                <w:sz w:val="20"/>
              </w:rPr>
              <w:t>Issuer:</w:t>
            </w:r>
          </w:p>
        </w:tc>
        <w:tc>
          <w:tcPr>
            <w:tcW w:w="1985" w:type="dxa"/>
            <w:tcBorders/>
            <w:vAlign w:val="center"/>
          </w:tcPr>
          <w:p>
            <w:pPr>
              <w:pStyle w:val="TableContents"/>
              <w:bidi w:val="0"/>
              <w:spacing w:before="0" w:after="283"/>
              <w:jc w:val="left"/>
              <w:rPr>
                <w:sz w:val="20"/>
              </w:rPr>
            </w:pPr>
            <w:r>
              <w:rPr>
                <w:sz w:val="20"/>
              </w:rPr>
              <w:t xml:space="preserve">Trinity Capital Inc. </w:t>
            </w:r>
          </w:p>
        </w:tc>
      </w:tr>
      <w:tr>
        <w:trPr/>
        <w:tc>
          <w:tcPr>
            <w:tcW w:w="113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20"/>
              </w:rPr>
            </w:pPr>
            <w:r>
              <w:rPr>
                <w:sz w:val="20"/>
              </w:rPr>
              <w:t>Issuer Ticker:</w:t>
            </w:r>
          </w:p>
        </w:tc>
        <w:tc>
          <w:tcPr>
            <w:tcW w:w="1985" w:type="dxa"/>
            <w:tcBorders/>
            <w:vAlign w:val="center"/>
          </w:tcPr>
          <w:p>
            <w:pPr>
              <w:pStyle w:val="TableContents"/>
              <w:bidi w:val="0"/>
              <w:spacing w:before="0" w:after="283"/>
              <w:jc w:val="left"/>
              <w:rPr>
                <w:sz w:val="20"/>
              </w:rPr>
            </w:pPr>
            <w:r>
              <w:rPr>
                <w:sz w:val="20"/>
              </w:rPr>
              <w:t>TRIN</w:t>
            </w:r>
          </w:p>
        </w:tc>
      </w:tr>
      <w:tr>
        <w:trPr/>
        <w:tc>
          <w:tcPr>
            <w:tcW w:w="113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20"/>
              </w:rPr>
            </w:pPr>
            <w:r>
              <w:rPr>
                <w:sz w:val="20"/>
              </w:rPr>
              <w:t>Security:</w:t>
            </w:r>
          </w:p>
        </w:tc>
        <w:tc>
          <w:tcPr>
            <w:tcW w:w="1985" w:type="dxa"/>
            <w:tcBorders/>
            <w:vAlign w:val="center"/>
          </w:tcPr>
          <w:p>
            <w:pPr>
              <w:pStyle w:val="TableContents"/>
              <w:bidi w:val="0"/>
              <w:spacing w:before="0" w:after="283"/>
              <w:jc w:val="left"/>
              <w:rPr>
                <w:sz w:val="20"/>
              </w:rPr>
            </w:pPr>
            <w:r>
              <w:rPr>
                <w:sz w:val="20"/>
              </w:rPr>
              <w:t>7.500% Notes due 2032</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3065"/>
        <w:gridCol w:w="4850"/>
      </w:tblGrid>
      <w:tr>
        <w:trPr/>
        <w:tc>
          <w:tcPr>
            <w:tcW w:w="3065" w:type="dxa"/>
            <w:tcBorders/>
            <w:vAlign w:val="center"/>
          </w:tcPr>
          <w:p>
            <w:pPr>
              <w:pStyle w:val="TableContents"/>
              <w:bidi w:val="0"/>
              <w:spacing w:before="0" w:after="283"/>
              <w:jc w:val="both"/>
              <w:rPr>
                <w:sz w:val="20"/>
              </w:rPr>
            </w:pPr>
            <w:r>
              <w:rPr>
                <w:sz w:val="20"/>
              </w:rPr>
              <w:t>Expected Ratings*:</w:t>
            </w:r>
          </w:p>
        </w:tc>
        <w:tc>
          <w:tcPr>
            <w:tcW w:w="4850" w:type="dxa"/>
            <w:tcBorders/>
            <w:vAlign w:val="center"/>
          </w:tcPr>
          <w:p>
            <w:pPr>
              <w:pStyle w:val="TableContents"/>
              <w:bidi w:val="0"/>
              <w:spacing w:before="0" w:after="283"/>
              <w:jc w:val="left"/>
              <w:rPr>
                <w:sz w:val="20"/>
              </w:rPr>
            </w:pPr>
            <w:r>
              <w:rPr>
                <w:sz w:val="20"/>
              </w:rPr>
              <w:t>Baa3 (Moody’s) / BBBL (Morningstar) / BBB (Egan-Jones)</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Trade Date:</w:t>
            </w:r>
          </w:p>
        </w:tc>
        <w:tc>
          <w:tcPr>
            <w:tcW w:w="4850" w:type="dxa"/>
            <w:tcBorders/>
            <w:vAlign w:val="center"/>
          </w:tcPr>
          <w:p>
            <w:pPr>
              <w:pStyle w:val="TableContents"/>
              <w:bidi w:val="0"/>
              <w:spacing w:before="0" w:after="283"/>
              <w:jc w:val="left"/>
              <w:rPr>
                <w:sz w:val="20"/>
              </w:rPr>
            </w:pPr>
            <w:r>
              <w:rPr>
                <w:sz w:val="20"/>
              </w:rPr>
              <w:t>September 30, 2026</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Settlement Date**:</w:t>
            </w:r>
          </w:p>
        </w:tc>
        <w:tc>
          <w:tcPr>
            <w:tcW w:w="4850" w:type="dxa"/>
            <w:tcBorders/>
            <w:vAlign w:val="center"/>
          </w:tcPr>
          <w:p>
            <w:pPr>
              <w:pStyle w:val="TableContents"/>
              <w:bidi w:val="0"/>
              <w:spacing w:before="0" w:after="283"/>
              <w:jc w:val="left"/>
              <w:rPr>
                <w:sz w:val="20"/>
              </w:rPr>
            </w:pPr>
            <w:r>
              <w:rPr>
                <w:sz w:val="20"/>
              </w:rPr>
              <w:t>October 5, 2026 (T+3)</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Aggregate Principal Amount Offered:</w:t>
            </w:r>
          </w:p>
        </w:tc>
        <w:tc>
          <w:tcPr>
            <w:tcW w:w="4850" w:type="dxa"/>
            <w:tcBorders/>
            <w:vAlign w:val="center"/>
          </w:tcPr>
          <w:p>
            <w:pPr>
              <w:pStyle w:val="TableContents"/>
              <w:bidi w:val="0"/>
              <w:spacing w:before="0" w:after="283"/>
              <w:jc w:val="left"/>
              <w:rPr>
                <w:sz w:val="20"/>
              </w:rPr>
            </w:pPr>
            <w:r>
              <w:rPr>
                <w:sz w:val="20"/>
              </w:rPr>
              <w:t>$350,000,000</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Maturity Date:</w:t>
            </w:r>
          </w:p>
        </w:tc>
        <w:tc>
          <w:tcPr>
            <w:tcW w:w="4850" w:type="dxa"/>
            <w:tcBorders/>
            <w:vAlign w:val="center"/>
          </w:tcPr>
          <w:p>
            <w:pPr>
              <w:pStyle w:val="TableContents"/>
              <w:bidi w:val="0"/>
              <w:spacing w:before="0" w:after="283"/>
              <w:jc w:val="left"/>
              <w:rPr>
                <w:sz w:val="20"/>
              </w:rPr>
            </w:pPr>
            <w:r>
              <w:rPr>
                <w:sz w:val="20"/>
              </w:rPr>
              <w:t>January 15, 2032, unless earlier repurchased or redeemed</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Price to Public (Issue Price):</w:t>
            </w:r>
          </w:p>
        </w:tc>
        <w:tc>
          <w:tcPr>
            <w:tcW w:w="4850" w:type="dxa"/>
            <w:tcBorders/>
            <w:vAlign w:val="center"/>
          </w:tcPr>
          <w:p>
            <w:pPr>
              <w:pStyle w:val="TableContents"/>
              <w:bidi w:val="0"/>
              <w:spacing w:before="0" w:after="283"/>
              <w:jc w:val="left"/>
              <w:rPr>
                <w:sz w:val="20"/>
              </w:rPr>
            </w:pPr>
            <w:r>
              <w:rPr>
                <w:sz w:val="20"/>
              </w:rPr>
              <w:t>99.104%</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Coupon (Interest Rate):</w:t>
            </w:r>
          </w:p>
        </w:tc>
        <w:tc>
          <w:tcPr>
            <w:tcW w:w="4850" w:type="dxa"/>
            <w:tcBorders/>
            <w:vAlign w:val="center"/>
          </w:tcPr>
          <w:p>
            <w:pPr>
              <w:pStyle w:val="TableContents"/>
              <w:bidi w:val="0"/>
              <w:spacing w:before="0" w:after="283"/>
              <w:jc w:val="left"/>
              <w:rPr>
                <w:sz w:val="20"/>
              </w:rPr>
            </w:pPr>
            <w:r>
              <w:rPr>
                <w:sz w:val="20"/>
              </w:rPr>
              <w:t>7.500%</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Yield to Maturity:</w:t>
            </w:r>
          </w:p>
        </w:tc>
        <w:tc>
          <w:tcPr>
            <w:tcW w:w="48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7.714%</w:t>
            </w:r>
          </w:p>
          <w:p>
            <w:pPr>
              <w:pStyle w:val="TableContents"/>
              <w:bidi w:val="0"/>
              <w:spacing w:before="0" w:after="0"/>
              <w:ind w:left="0" w:right="0" w:hanging="0"/>
              <w:jc w:val="left"/>
              <w:rPr>
                <w:caps w:val="false"/>
                <w:smallCaps w:val="false"/>
              </w:rPr>
            </w:pPr>
            <w:r>
              <w:rPr>
                <w:caps w:val="false"/>
                <w:smallCaps w:val="false"/>
              </w:rPr>
              <w:t> </w:t>
            </w:r>
          </w:p>
        </w:tc>
      </w:tr>
      <w:tr>
        <w:trPr/>
        <w:tc>
          <w:tcPr>
            <w:tcW w:w="3065" w:type="dxa"/>
            <w:tcBorders/>
            <w:vAlign w:val="center"/>
          </w:tcPr>
          <w:p>
            <w:pPr>
              <w:pStyle w:val="TableContents"/>
              <w:bidi w:val="0"/>
              <w:spacing w:before="0" w:after="283"/>
              <w:jc w:val="left"/>
              <w:rPr>
                <w:sz w:val="20"/>
              </w:rPr>
            </w:pPr>
            <w:r>
              <w:rPr>
                <w:sz w:val="20"/>
              </w:rPr>
              <w:t>Spread to Benchmark Treasury:</w:t>
            </w:r>
          </w:p>
        </w:tc>
        <w:tc>
          <w:tcPr>
            <w:tcW w:w="48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+ 262.5 basis points</w:t>
            </w:r>
          </w:p>
          <w:p>
            <w:pPr>
              <w:pStyle w:val="TableContents"/>
              <w:bidi w:val="0"/>
              <w:spacing w:before="0" w:after="0"/>
              <w:ind w:left="0" w:right="0" w:hanging="0"/>
              <w:jc w:val="left"/>
              <w:rPr>
                <w:caps w:val="false"/>
                <w:smallCaps w:val="false"/>
              </w:rPr>
            </w:pPr>
            <w:r>
              <w:rPr>
                <w:caps w:val="false"/>
                <w:smallCaps w:val="false"/>
              </w:rPr>
              <w:t> </w:t>
            </w:r>
          </w:p>
        </w:tc>
      </w:tr>
      <w:tr>
        <w:trPr/>
        <w:tc>
          <w:tcPr>
            <w:tcW w:w="3065" w:type="dxa"/>
            <w:tcBorders/>
            <w:vAlign w:val="center"/>
          </w:tcPr>
          <w:p>
            <w:pPr>
              <w:pStyle w:val="TableContents"/>
              <w:bidi w:val="0"/>
              <w:spacing w:before="0" w:after="283"/>
              <w:jc w:val="left"/>
              <w:rPr>
                <w:sz w:val="20"/>
              </w:rPr>
            </w:pPr>
            <w:r>
              <w:rPr>
                <w:sz w:val="20"/>
              </w:rPr>
              <w:t xml:space="preserve">Benchmark Treasury: </w:t>
            </w:r>
          </w:p>
        </w:tc>
        <w:tc>
          <w:tcPr>
            <w:tcW w:w="4850" w:type="dxa"/>
            <w:tcBorders/>
            <w:vAlign w:val="center"/>
          </w:tcPr>
          <w:p>
            <w:pPr>
              <w:pStyle w:val="TableContents"/>
              <w:bidi w:val="0"/>
              <w:spacing w:before="0" w:after="283"/>
              <w:jc w:val="left"/>
              <w:rPr>
                <w:sz w:val="20"/>
              </w:rPr>
            </w:pPr>
            <w:r>
              <w:rPr>
                <w:sz w:val="20"/>
              </w:rPr>
              <w:t>5.000% due September 30, 2031</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Benchmark Treasury Price and Yield:</w:t>
            </w:r>
          </w:p>
        </w:tc>
        <w:tc>
          <w:tcPr>
            <w:tcW w:w="48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 19+ / 5.089%</w:t>
            </w:r>
          </w:p>
          <w:p>
            <w:pPr>
              <w:pStyle w:val="TableContents"/>
              <w:bidi w:val="0"/>
              <w:spacing w:before="0" w:after="0"/>
              <w:ind w:left="0" w:right="0" w:hanging="0"/>
              <w:jc w:val="left"/>
              <w:rPr>
                <w:caps w:val="false"/>
                <w:smallCaps w:val="false"/>
              </w:rPr>
            </w:pPr>
            <w:r>
              <w:rPr>
                <w:caps w:val="false"/>
                <w:smallCaps w:val="false"/>
              </w:rPr>
              <w:t> </w:t>
            </w:r>
          </w:p>
        </w:tc>
      </w:tr>
      <w:tr>
        <w:trPr/>
        <w:tc>
          <w:tcPr>
            <w:tcW w:w="3065" w:type="dxa"/>
            <w:tcBorders/>
            <w:vAlign w:val="center"/>
          </w:tcPr>
          <w:p>
            <w:pPr>
              <w:pStyle w:val="TableContents"/>
              <w:bidi w:val="0"/>
              <w:spacing w:before="0" w:after="283"/>
              <w:jc w:val="left"/>
              <w:rPr>
                <w:sz w:val="20"/>
              </w:rPr>
            </w:pPr>
            <w:r>
              <w:rPr>
                <w:sz w:val="20"/>
              </w:rPr>
              <w:t>Interest Payment Dates:</w:t>
            </w:r>
          </w:p>
        </w:tc>
        <w:tc>
          <w:tcPr>
            <w:tcW w:w="4850" w:type="dxa"/>
            <w:tcBorders/>
            <w:vAlign w:val="center"/>
          </w:tcPr>
          <w:p>
            <w:pPr>
              <w:pStyle w:val="TableContents"/>
              <w:bidi w:val="0"/>
              <w:spacing w:before="0" w:after="283"/>
              <w:jc w:val="left"/>
              <w:rPr>
                <w:sz w:val="20"/>
              </w:rPr>
            </w:pPr>
            <w:r>
              <w:rPr>
                <w:sz w:val="20"/>
              </w:rPr>
              <w:t>January 15and July 15, commencing January 15, 2027</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5"/>
        <w:gridCol w:w="8610"/>
      </w:tblGrid>
      <w:tr>
        <w:trPr/>
        <w:tc>
          <w:tcPr>
            <w:tcW w:w="1595" w:type="dxa"/>
            <w:tcBorders/>
            <w:vAlign w:val="center"/>
          </w:tcPr>
          <w:p>
            <w:pPr>
              <w:pStyle w:val="TableContents"/>
              <w:bidi w:val="0"/>
              <w:spacing w:before="0" w:after="283"/>
              <w:jc w:val="left"/>
              <w:rPr>
                <w:sz w:val="20"/>
              </w:rPr>
            </w:pPr>
            <w:r>
              <w:rPr>
                <w:sz w:val="20"/>
              </w:rPr>
              <w:t>Optional Redemption:</w:t>
            </w:r>
          </w:p>
        </w:tc>
        <w:tc>
          <w:tcPr>
            <w:tcW w:w="86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15, 2031 (the date falling one month prior to the maturity date of the Notes) (the “Par Call Date”), the Issuer may redeem some or all of the Notes at any time, or from time to time, at a redemption price equal to the greater of the following amounts, plus, in each case, accrued and unpaid interest thereon to the redemption date: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(b) interest accrued to the date of redemption;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100% of the principal amount of the Notes to be redeemed;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Issuer redeems any Notes on or after the Par Call Date, the redemption price for the Notes will be equal to 100% of the principal amount of the Notes to be redeemed, plus accrued and unpaid interest thereon to, but excluding, the date of redemption.</w:t>
            </w:r>
          </w:p>
        </w:tc>
      </w:tr>
      <w:tr>
        <w:trPr/>
        <w:tc>
          <w:tcPr>
            <w:tcW w:w="1595" w:type="dxa"/>
            <w:tcBorders/>
            <w:vAlign w:val="center"/>
          </w:tcPr>
          <w:p>
            <w:pPr>
              <w:pStyle w:val="TableContents"/>
              <w:bidi w:val="0"/>
              <w:spacing w:before="0" w:after="283"/>
              <w:jc w:val="left"/>
              <w:rPr/>
            </w:pPr>
            <w:r>
              <w:rPr/>
              <w:t> </w:t>
            </w:r>
          </w:p>
        </w:tc>
        <w:tc>
          <w:tcPr>
            <w:tcW w:w="861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20"/>
              </w:rPr>
            </w:pPr>
            <w:r>
              <w:rPr>
                <w:sz w:val="20"/>
              </w:rPr>
              <w:t>Denomination:</w:t>
            </w:r>
          </w:p>
        </w:tc>
        <w:tc>
          <w:tcPr>
            <w:tcW w:w="8610" w:type="dxa"/>
            <w:tcBorders/>
            <w:vAlign w:val="center"/>
          </w:tcPr>
          <w:p>
            <w:pPr>
              <w:pStyle w:val="TableContents"/>
              <w:bidi w:val="0"/>
              <w:spacing w:before="0" w:after="283"/>
              <w:jc w:val="left"/>
              <w:rPr>
                <w:sz w:val="20"/>
              </w:rPr>
            </w:pPr>
            <w:r>
              <w:rPr>
                <w:sz w:val="20"/>
              </w:rPr>
              <w:t>$2,000 and integral multiples of $1,000 in excess thereof</w:t>
            </w:r>
          </w:p>
        </w:tc>
      </w:tr>
      <w:tr>
        <w:trPr/>
        <w:tc>
          <w:tcPr>
            <w:tcW w:w="1595" w:type="dxa"/>
            <w:tcBorders/>
            <w:vAlign w:val="center"/>
          </w:tcPr>
          <w:p>
            <w:pPr>
              <w:pStyle w:val="TableContents"/>
              <w:bidi w:val="0"/>
              <w:spacing w:before="0" w:after="283"/>
              <w:jc w:val="left"/>
              <w:rPr/>
            </w:pPr>
            <w:r>
              <w:rPr/>
              <w:t> </w:t>
            </w:r>
          </w:p>
        </w:tc>
        <w:tc>
          <w:tcPr>
            <w:tcW w:w="861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20"/>
              </w:rPr>
            </w:pPr>
            <w:r>
              <w:rPr>
                <w:sz w:val="20"/>
              </w:rPr>
              <w:t>CUSIP/ISIN:</w:t>
            </w:r>
          </w:p>
        </w:tc>
        <w:tc>
          <w:tcPr>
            <w:tcW w:w="8610" w:type="dxa"/>
            <w:tcBorders/>
            <w:vAlign w:val="center"/>
          </w:tcPr>
          <w:p>
            <w:pPr>
              <w:pStyle w:val="TableContents"/>
              <w:bidi w:val="0"/>
              <w:spacing w:before="0" w:after="283"/>
              <w:jc w:val="left"/>
              <w:rPr>
                <w:sz w:val="20"/>
              </w:rPr>
            </w:pPr>
            <w:r>
              <w:rPr>
                <w:sz w:val="20"/>
              </w:rPr>
              <w:t>896442AM2 / US896442AM27</w:t>
            </w:r>
          </w:p>
        </w:tc>
      </w:tr>
      <w:tr>
        <w:trPr/>
        <w:tc>
          <w:tcPr>
            <w:tcW w:w="1595" w:type="dxa"/>
            <w:tcBorders/>
            <w:vAlign w:val="center"/>
          </w:tcPr>
          <w:p>
            <w:pPr>
              <w:pStyle w:val="TableContents"/>
              <w:bidi w:val="0"/>
              <w:spacing w:before="0" w:after="283"/>
              <w:jc w:val="left"/>
              <w:rPr/>
            </w:pPr>
            <w:r>
              <w:rPr/>
              <w:t> </w:t>
            </w:r>
          </w:p>
        </w:tc>
        <w:tc>
          <w:tcPr>
            <w:tcW w:w="861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20"/>
              </w:rPr>
            </w:pPr>
            <w:r>
              <w:rPr>
                <w:sz w:val="20"/>
              </w:rPr>
              <w:t>Joint Book-Running Managers:</w:t>
            </w:r>
          </w:p>
        </w:tc>
        <w:tc>
          <w:tcPr>
            <w:tcW w:w="8610" w:type="dxa"/>
            <w:tcBorders/>
            <w:vAlign w:val="center"/>
          </w:tcPr>
          <w:p>
            <w:pPr>
              <w:pStyle w:val="TableContents"/>
              <w:bidi w:val="0"/>
              <w:spacing w:before="0" w:after="283"/>
              <w:jc w:val="left"/>
              <w:rPr>
                <w:sz w:val="20"/>
              </w:rPr>
            </w:pPr>
            <w:r>
              <w:rPr>
                <w:sz w:val="20"/>
              </w:rPr>
              <w:t>Keefe, Bruyette &amp; Woods, Inc.</w:t>
            </w:r>
          </w:p>
        </w:tc>
      </w:tr>
      <w:tr>
        <w:trPr/>
        <w:tc>
          <w:tcPr>
            <w:tcW w:w="1595" w:type="dxa"/>
            <w:tcBorders/>
            <w:vAlign w:val="center"/>
          </w:tcPr>
          <w:p>
            <w:pPr>
              <w:pStyle w:val="TableContents"/>
              <w:bidi w:val="0"/>
              <w:spacing w:before="0" w:after="283"/>
              <w:jc w:val="left"/>
              <w:rPr/>
            </w:pPr>
            <w:r>
              <w:rPr/>
              <w:t> </w:t>
            </w:r>
          </w:p>
        </w:tc>
        <w:tc>
          <w:tcPr>
            <w:tcW w:w="8610" w:type="dxa"/>
            <w:tcBorders/>
            <w:vAlign w:val="center"/>
          </w:tcPr>
          <w:p>
            <w:pPr>
              <w:pStyle w:val="TableContents"/>
              <w:bidi w:val="0"/>
              <w:spacing w:before="0" w:after="283"/>
              <w:jc w:val="left"/>
              <w:rPr>
                <w:sz w:val="20"/>
              </w:rPr>
            </w:pPr>
            <w:r>
              <w:rPr>
                <w:sz w:val="20"/>
              </w:rPr>
              <w:t>MUFG Securities Americas Inc.</w:t>
            </w:r>
          </w:p>
        </w:tc>
      </w:tr>
      <w:tr>
        <w:trPr/>
        <w:tc>
          <w:tcPr>
            <w:tcW w:w="159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Co-Managers:</w:t>
            </w:r>
          </w:p>
        </w:tc>
        <w:tc>
          <w:tcPr>
            <w:tcW w:w="861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KeyBanc Capital Markets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Seelaus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 JMP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Hancock Whitney Investment Services,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 &amp; Co.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Zions Direct,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Issuer expects that delivery of the Notes will be made to investors on or about October 5, 2026, which will be the third business day 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on the date hereof or the following business day will be required by virtue of the fact that the Notes initially settle in T+3, to specify an alternate settlement arrangement at the time of any such trade to prevent a failed settlement. Purchasers of the Notes who wish to trade the Notes on the date hereof or the following business day should consult their advisors.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are advised to carefully consider the investment objectives, risks, charges and expenses of the Issuer before investing. The Preliminary Prospectus, which has been filed with the Securities and Exchange Commission (the “SEC”), and the documents incorporated by reference therein, contain these factors and other information about the Issuer and should be read carefully before investing.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jurisdiction where such offer and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shelf registration statement (including a base prospectus) with the SEC for the offering to which this communication relates. Before you invest, you should read the base prospectus in that registration statement, the Preliminary Prospectus and the documents incorporated by reference therein, which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Preliminary Prospectus if you request it from Keefe, Bruyette &amp; Woods, Inc., 787 7th Avenue, 4th Floor, New York, New York 10019, Attn: Debt Syndicate, by telephone at 1 (800) 966-1559, or from MUFG Securities Americas Inc., 1221 Avenue of the Americas, 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 New York, New York 10020, by telephone at 1 (877) 649-6848.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right"/>
        <w:rPr>
          <w:b/>
        </w:rPr>
      </w:pPr>
      <w:bookmarkStart w:id="4" w:name="ea030735901_ex4-2.htm"/>
      <w:bookmarkStart w:id="5" w:name="ksea030735901_ex42"/>
      <w:bookmarkEnd w:id="4"/>
      <w:bookmarkEnd w:id="5"/>
      <w:r>
        <w:rPr>
          <w:b/>
        </w:rPr>
        <w:t>Exhibit 4.2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NINTH SUPPLEMENTAL INDENTURE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between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TRINITY CAPITAL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BANK TRUST COMPANY, NATIONAL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Trustee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NINTH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NINTH SUPPLEMENTAL INDENTURE (this “Ninth Supplemental Indenture”), dated as of October 5, 2026, is between Trinity Capital Inc., a Maryland corporation (the “Company”), and U.S. Bank Trust Company, National Association, as trustee (the “Trustee”). All capitalized terms used herein shall have the meaning set forth in the Base Indenture (as defined below) unless otherwise defined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executed and delivered an Indenture, dated as of January 16, 2020 (the “Base Indenture” and, as supplemented by this Ninth Supplemental Indenture, collectively, the “Indenture”), to provide for the issuance by the Company from time to time of the Company’s unsecured debentures, notes or other evidences of indebtedness (the “Securities”), to be issued in one or more series as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desires to issue and sell $350,000,000 aggregate principal amount of the Company’s 7.500% Notes due 2032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entered into the First Supplemental Indenture, dated as of January 16, 2020 (the “First Supplemental Indenture”), the Second Supplemental Indenture, dated as of December 11, 2020 (the “Second Supplemental Indenture”), the Third Supplemental Indenture, dated August 24, 2021 (the “Third Supplemental Indenture”), the Fourth Supplemental Indenture, dated December 15, 2021 (the “Fourth Supplemental Indenture”), the Fifth Supplemental Indenture, dated March 28, 2024 (the “Fifth Supplemental Indenture”), the Sixth Supplemental Indenture, dated July 19, 2024 (the “Sixth Supplemental Indenture”),the Seventh Supplemental Indenture, dated July 3, 2025 (the “Seventh Supplemental Indenture”) and the Eighth Supplemental Indenture, dated May 21, 2026 (the “Eighth Supplemental Indenture”), which supplemented the Base Indenture. None of the First Supplemental Indenture, the Second Supplemental Indenture, the Third Supplemental Indenture, the Fourth Supplemental Indenture, the Fifth Supplemental Indenture, the Sixth Supplemental Indenture, the Seventh Supplemental Indenture or the Eighth Supplemental Indenture are applicable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9.01(iv) and 9.01(vi)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duly authorized the execution and delivery of this Ninth Supplemental Indenture to provide for the issuance of the Notes and all acts and things necessary to make this Ninth Supplemental Indenture a valid, binding, and legal obligation of the Company and to constitute a valid agreement of the Company, in accordance with its terms, have been done and performed.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INDENTURE WITNESSETH: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Notes by the Holders thereof, it is mutually agreed, for the equal and proportionate benefit of all Holders of the Notes,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TERMS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Terms of the Notes</w:t>
      </w:r>
      <w:r>
        <w:rPr>
          <w:rFonts w:ascii="Times New Roman;Times;Serif" w:hAnsi="Times New Roman;Times;Serif"/>
          <w:b w:val="false"/>
          <w:i w:val="false"/>
          <w:caps w:val="false"/>
          <w:smallCaps w:val="false"/>
          <w:sz w:val="20"/>
        </w:rPr>
        <w:t>. The following terms relating to the Notes are hereby established: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shall constitute a series of Securities having the title “7.500% Notes due 2032” and shall be designated as Senior Securities under the Indenture. The Notes shall bear a CUSIP number of 896442AM2 and an ISIN number of US896442AM27.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$350,000,000.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(except for the issue date, offering price and, if applicable, the initial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Additional Notes must either (i) be issued in a “qualified reopening” for U.S. Federal income tax purposes, with no more than a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amount of original issue discount, or otherwise (ii) be part of the same issue as the Notes for U.S. federal income tax purposes. Any Additional Notes and the existing Notes will constitute a single series under the Indenture and all references to the relevant Notes herein shall include the Additional Notes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entire Outstanding principal amount of the Notes shall be payable on January 15, 2032, unless earlier redeemed or repurchased in accordance with the provisions of this Ninth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rate at which the Notes shall bear interest shall be 7.500% per annum (the “Applicable Interest Rate”). The date from which interest shall accrue on the Notes shall be October 5, 2026, or the most recent Interest Payment Date to which interest has been paid or provided for; the Interest Payment Dates for the Notes shall be January 15 and July 15 of each year, commencing January 15, 2027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October 5, 2026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the close of business on the Regular Record Date for such interest, which shall be January 1 and July 1 (whether or not a Business Day), as the case may be, next 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 The Trustee will have no obligation to calculate or verify the calculation of the accrued and unpaid interest payable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Notes shall be initially issuable in global form (each such Note, a “Global Note”). The Global Notes and the Trustee’s certificate of authentication thereon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Ninth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depositary for such Global Notes shall be the Depositary Custodian. The Security Registrar with respect to the Global Notes shall be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Notes shall be defeasible pursuant to Section 14.02 or Section 14.03 of the Base Indenture. Covenant defeasance contained in Section 14.03 of the Base Indenture shall apply to the covenants contained in Sections 10.07 and 10.08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Notes shall be redeemable pursuant to Section 11.01 of the Base Indenture and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Par Call Date, the Company may redeem the Notes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100% of the principal amount of the Notes to be redeemed,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(b) interest accrued to the Redemption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calculating the Redemption Price in connection with the redemption of the Notes, on any Redemption Date, the following terms have the meanings set forth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December 15, 2031.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the yield determined by the Company in accordance with the following two paragraphs.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Notice of redemption shall be given in writing and mailed, first-class postage prepaid or by overnight courier guaranteeing next-day delivery, or sent electronically in accordance with Applicable Procedures with respect to Notes in global form, to each Holder of the Notes to be redeemed, not less than 10 nor more than 60 days prior to the Redemption Date,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exercise of the Company’s option to redeem the Notes will be done in compliance with the Investment Company Act, to the extent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the Company elects to redeem only a portion of the Notes, the particular Notes to be redeemed will be selected by the Trustee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to the extent practicable, or, if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is not practicable for any reason, by lot or in such other manner as the Trustee shall deem fair and appropriate, and in any case in accordance with the applicable procedures of the Depositary and in accordance with the Investment Company Act as directed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partial redemption shall reduce the portion of the principal amount of a Note not redeemed to less than $2,000.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Unless the Company defaults in payment of the Redemption Price, on and after the Redemption Date, interest will cease to accrue on the Notes called for redemption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Notes shall not be subject to any sinking fund pursuant to Section 12.01 of the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Notes shall be issuable in minimum denominations of $2,000 and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Holders of the Notes will not have the option to have the Notes repaid prior to the Stated Maturity other than in accordance with Article Thirteen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 AND OTHER PROVISIONS OF GENERAL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Below Investment Grade Rating Event</w:t>
      </w:r>
      <w:r>
        <w:rPr>
          <w:rFonts w:ascii="Times New Roman;Times;Serif" w:hAnsi="Times New Roman;Times;Serif"/>
          <w:b w:val="false"/>
          <w:i w:val="false"/>
          <w:caps w:val="false"/>
          <w:smallCaps w:val="false"/>
          <w:sz w:val="20"/>
        </w:rPr>
        <w:t xml:space="preserve">”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 pledge of assets pursuant to any secured debt instrument of the Company or its Controlled Subsidiaries shall not be deemed to be any such sale, lease, transfer, conveyance or disposition;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approval by the Company’s stockholders of any plan or proposal relating to the liquidation or dissolution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Repurchase Event</w:t>
      </w:r>
      <w:r>
        <w:rPr>
          <w:rFonts w:ascii="Times New Roman;Times;Serif" w:hAnsi="Times New Roman;Times;Serif"/>
          <w:b w:val="false"/>
          <w:i w:val="false"/>
          <w:caps w:val="false"/>
          <w:smallCaps w:val="false"/>
          <w:sz w:val="20"/>
        </w:rPr>
        <w:t>” means the occurrence of a Change of Control and a Below Investment Grade Rating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Subsidiary</w:t>
      </w:r>
      <w:r>
        <w:rPr>
          <w:rFonts w:ascii="Times New Roman;Times;Serif" w:hAnsi="Times New Roman;Times;Serif"/>
          <w:b w:val="false"/>
          <w:i w:val="false"/>
          <w:caps w:val="false"/>
          <w:smallCaps w:val="false"/>
          <w:sz w:val="20"/>
        </w:rPr>
        <w:t>”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with respect to each Note in global form, The Depository Trust Company, until a successor shall have been appointed and becomes such person, and thereafter, Depositary shall mean or include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w:t>
      </w:r>
      <w:r>
        <w:rPr>
          <w:rFonts w:ascii="Times New Roman;Times;Serif" w:hAnsi="Times New Roman;Times;Serif"/>
          <w:b w:val="false"/>
          <w:i w:val="false"/>
          <w:caps w:val="false"/>
          <w:smallCaps w:val="false"/>
          <w:sz w:val="20"/>
        </w:rPr>
        <w:t>” means a rating of Baa3 or better by Moody’s (or its equivalent under any successor rating categories of Moody’s), (or if the Rating Agency ceases to rate the Notes for reasons outside of the Company’s control, the equivalent investment grade credit rating from any Rating Agency selected by the Company as a replacement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Holders</w:t>
      </w:r>
      <w:r>
        <w:rPr>
          <w:rFonts w:ascii="Times New Roman;Times;Serif" w:hAnsi="Times New Roman;Times;Serif"/>
          <w:b w:val="false"/>
          <w:i w:val="false"/>
          <w:caps w:val="false"/>
          <w:smallCaps w:val="false"/>
          <w:sz w:val="20"/>
        </w:rPr>
        <w:t>” means (i) the Company, (ii) one or more of the Company’s Controlled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(1) Moody’s; and (2) if Moody’s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Moody’s.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means any Subsidiary that would be a “significant subsidiary” as defined in Article 1, Rule 1-02 of Regulation S-X under the Exchange Act, as such regulation is in effect on the original date of this Indenture (but excluding any Subsidiary which is (a) a non-recourse or limited recourse Subsidiary, (b) a bankruptcy remote special purpose vehicle or (c) is not consolidated with the Company for purposes of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Except as may be provided in a Future Supplemental Indenture, for the benefit of the Holders of the Notes but no other series of Securities under the Indenture, whether now or hereafter issued and Outstanding, Section 5.01 of the Base Indenture shall be amended by replacing clause (ii) thereof with the following:</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(ii) default in the payment of the principal of (or premium, if any, on) any Note when it becomes due and payable at its Maturity, including upon any Redemption Date or required repurchase date;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Except as may be provided in a Future Supplemental Indenture, for the benefit of the Holders of the Notes but no other series of Securities under the Indenture, whether now or hereafter issued and Outstanding, Section 5.01 of the Base Indenture shall be amended by adding the following language as clause (ix):</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(ix) default by the Company or any of its Significant Subsidiaries, after giving effect to any applicable grace periods and any applicable extensions, with respect to any mortgage, agreement or other instrument under which there may be outstanding, or by which there may be secured or evidenced, any indebtedness for money borrowed in excess of $50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Except as may be provided in a Future Supplemental Indenture, for the benefit of the Holders of the Notes but no other series of Securities under the Indenture, whether now or hereafter issued and Outstanding, Section 5.02 of the Base Indenture shall be amended by replacing the first paragraph of Section 5.02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If an Event of Default with respect to the Notes occurs and is continuing, then and in every such case (other than an Event of Default specified in Section 5.01(v) or 5.01(vi)), the Trustee or the Holders of not less than 25% in principal amount of the Outstanding Notes may declare the principal of all the Outstanding Notes to be due and payable immediately, by a notice in writing to the Company (and to the Trustee if given by the Holders), and upon any such declaration such principal shall become immediately due and payable;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100% of the principal of, and accrued and unpaid interest on, the Notes will automatically become due and payable in the case of an Event of Default specified in Section 5.01(v) or 5.01(vi)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10.07 and 10.08 thereto, each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val="false"/>
          <w:caps w:val="false"/>
          <w:smallCaps w:val="false"/>
          <w:sz w:val="20"/>
          <w:u w:val="single"/>
        </w:rPr>
        <w:t>Section 18(a)(1)(A) of the 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that for the period of time during which Notes are Outstanding, the Company will not violate, whether or not it is subject to, Section 18(a)(1)(A) as modified by Section 61(a) of the Investment Company Act or any successor provisions thereto of the Investment Company Act, giving effect to any exemptive relief granted to the Company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val="false"/>
          <w:caps w:val="false"/>
          <w:smallCaps w:val="false"/>
          <w:sz w:val="20"/>
          <w:u w:val="single"/>
        </w:rPr>
        <w:t>Commission Reports and Reports to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 is not subject to the reporting requirements of Sections 13 or 15(d) of the Exchange Act to file any periodic reports with the Commission, the Company agrees to furnish to the Holders of Notes and the Trustee for the period of time during which the Notes are Outstanding: (i) within 90 days after the end of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Neither the Trustee nor any Paying Agent shall be responsible for determining whether any Change of Control or Below Investment Grade Rating Event has occurred and whether any Change of Control offer with respect to the Notes is required.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OFFER TO REPURCHASE UPON A CHANGE OF CONTROL REPURCHASE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with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13.01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Repurchase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Repurchase Event payment date, subject to extension if necessary to comply with the provisions of the Investment Company Act, the Company shall, to the extent lawful: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or portions of Notes properly tendered pursuant to its offer;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Paying Agent an amount equal to the aggregate purchase price in respect of all Notes or portions of Notes properly tendered;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the Notes properly accepted, together with an Officers’ Certificate stating the aggregate principal amount of Notes being purchased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Paying Agent will promptly remit to each Holder of Notes properly tendered the purchase price for the Notes, and the Trustee will promptly authenticate upon receipt of a Company Order and mail (or cause to be transferred by book-entry) to each Holder a new Note equal in principal amount to any unpurchased portion of any Notes surrendered;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new Note will be in a minimum principal amount of $2,000 or an integral multiple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This Ninth Supplemental Indenture and the Notes shall be governed by and construed in accordance with the laws of the State of New York, without regard to principles of conflicts of laws that would cause the application of laws of another jurisdiction. This Ninth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In case any provision in this Ninth Supplemental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This Ninth Supplemental Indenture may be executed in any number of counterparts, each of which will be an original, but such counterparts will together constitute but one and the same Ninth Supplemental Indenture. The exchange of copies of this Ninth Supplemental Indenture and the execution and the delivery of the Notes and of signature pages by facsimile, .pdf transmission, email or other electronic means (including DocuSign) shall constitute effective execution and delivery of this Ninth Supplemental Indenture and such Notes for all purposes. Signatures of the parties hereto transmitted by facsimile, .pdf transmission, email or other electronic means (including DocuSign) shall be deemed to be their original signatures for all purposes. For the avoidance of doubt, all notices, approvals, consents, requests and any communications hereunder or with respect to this Ninth Supplemental Indenture and the Notes must be in writing (provided that any communication sent to Trustee hereunder must be in the form of a document that is signed manually or by way of a digital signature provided by DocuSign or Adobe (or such other digital signature provider as specified in writing to Trustee by the authorized representative), in English.  The Company agrees to assume all risks arising out of the use of digital signatures and electronic methods to submit communications to Trustee, including without limitation the risk of the Trustee acting on unauthorized instructions, and the risk of interception and misuse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The Base Indenture, as supplemented and amended by this Ninth Supplemental Indenture, is in all respects ratified and confirmed, and the Base Indenture and this Ninth Supplemental Indenture shall be read, taken and construed as one and the same instrument with respect to the Notes. All provisions included in this Ninth Supplemental Indenture supersede any conflicting provisions included in the Base Indenture with respect to the Notes, unless not permitted by law. The Trustee accepts the trusts created by the Indenture, as supplemented by this Ninth Supplemental Indenture, and agrees to perform the same upon the terms and conditions of the Indenture, as supplemented by this Ninth Supplemental Indenture. All of the provisions contained in the Base Indenture in respect of the rights, privileges, immunities, indemnities, powers, and duties of the Trustee shall be applicable in respect of this Ninth Supplemental Indenture as fully and with like force and effect as though fully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The provisions of this Ninth Supplemental Indenture shall become effective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Notwithstanding anything else to the contrary herein, the terms and provisions of this Ninth Supplemental Indenture shall apply only to the Notes and shall not apply to any other series of Securities under the Indenture and this Ninth Supplemental Indenture shall not and does not otherwise affect, modify, alter, supplement or change the terms and provisions of any other series of Securities under the Indenture, whether now or hereafter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The recitals contained herein and in the Notes shall be taken as the statements of the Company, and the Trustee assumes no responsibility for their correctness. The Trustee makes no representations as to and shall not be responsible for the validity or sufficiency of this Ninth Supplemental Indenture, the Notes or any Additional Notes, except that the Trustee represents that it is duly authorized to execute and deliver this Ninth Supplemental Indenture, authenticate the Notes and any Additional Notes and perform its obligations hereunder. The Trustee shall not be accountable for the use or application by the Company of the Notes or any Additional Notes or the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Ninth Supplemental Indenture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75"/>
        <w:gridCol w:w="1111"/>
        <w:gridCol w:w="6423"/>
      </w:tblGrid>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TRINITY CAPITAL INC.</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34" w:type="dxa"/>
            <w:gridSpan w:val="2"/>
            <w:tcBorders>
              <w:bottom w:val="single" w:sz="8" w:space="0" w:color="000000"/>
            </w:tcBorders>
            <w:tcMar>
              <w:bottom w:w="28" w:type="dxa"/>
            </w:tcMar>
            <w:vAlign w:val="center"/>
          </w:tcPr>
          <w:p>
            <w:pPr>
              <w:pStyle w:val="TableContents"/>
              <w:bidi w:val="0"/>
              <w:spacing w:before="0" w:after="283"/>
              <w:jc w:val="left"/>
              <w:rPr/>
            </w:pPr>
            <w:r>
              <w:rPr/>
              <w:t>/s/ Kyle Brown</w:t>
            </w:r>
          </w:p>
        </w:tc>
      </w:tr>
      <w:tr>
        <w:trPr/>
        <w:tc>
          <w:tcPr>
            <w:tcW w:w="75"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Name:</w:t>
            </w:r>
          </w:p>
        </w:tc>
        <w:tc>
          <w:tcPr>
            <w:tcW w:w="6423" w:type="dxa"/>
            <w:tcBorders/>
            <w:vAlign w:val="center"/>
          </w:tcPr>
          <w:p>
            <w:pPr>
              <w:pStyle w:val="TableContents"/>
              <w:bidi w:val="0"/>
              <w:spacing w:before="0" w:after="283"/>
              <w:jc w:val="left"/>
              <w:rPr/>
            </w:pPr>
            <w:r>
              <w:rPr/>
              <w:t>Kyle Brown</w:t>
            </w:r>
          </w:p>
        </w:tc>
      </w:tr>
      <w:tr>
        <w:trPr/>
        <w:tc>
          <w:tcPr>
            <w:tcW w:w="75"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Title:</w:t>
            </w:r>
          </w:p>
        </w:tc>
        <w:tc>
          <w:tcPr>
            <w:tcW w:w="6423" w:type="dxa"/>
            <w:tcBorders/>
            <w:vAlign w:val="center"/>
          </w:tcPr>
          <w:p>
            <w:pPr>
              <w:pStyle w:val="TableContents"/>
              <w:bidi w:val="0"/>
              <w:spacing w:before="0" w:after="283"/>
              <w:jc w:val="left"/>
              <w:rPr/>
            </w:pPr>
            <w:r>
              <w:rPr/>
              <w:t xml:space="preserve">Chief Executive Officer, President and </w:t>
              <w:br/>
              <w:t>Chief Investment Office</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34" w:type="dxa"/>
            <w:gridSpan w:val="2"/>
            <w:tcBorders>
              <w:bottom w:val="single" w:sz="8" w:space="0" w:color="000000"/>
            </w:tcBorders>
            <w:tcMar>
              <w:bottom w:w="28" w:type="dxa"/>
            </w:tcMar>
            <w:vAlign w:val="center"/>
          </w:tcPr>
          <w:p>
            <w:pPr>
              <w:pStyle w:val="TableContents"/>
              <w:bidi w:val="0"/>
              <w:spacing w:before="0" w:after="283"/>
              <w:jc w:val="left"/>
              <w:rPr/>
            </w:pPr>
            <w:r>
              <w:rPr/>
              <w:t>/s/ Stacy Mitchell</w:t>
            </w:r>
          </w:p>
        </w:tc>
      </w:tr>
      <w:tr>
        <w:trPr/>
        <w:tc>
          <w:tcPr>
            <w:tcW w:w="75"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Name:</w:t>
            </w:r>
          </w:p>
        </w:tc>
        <w:tc>
          <w:tcPr>
            <w:tcW w:w="6423" w:type="dxa"/>
            <w:tcBorders/>
            <w:vAlign w:val="center"/>
          </w:tcPr>
          <w:p>
            <w:pPr>
              <w:pStyle w:val="TableContents"/>
              <w:bidi w:val="0"/>
              <w:spacing w:before="0" w:after="283"/>
              <w:jc w:val="left"/>
              <w:rPr/>
            </w:pPr>
            <w:r>
              <w:rPr/>
              <w:t>Stacy L. Mitchell</w:t>
            </w:r>
          </w:p>
        </w:tc>
      </w:tr>
      <w:tr>
        <w:trPr/>
        <w:tc>
          <w:tcPr>
            <w:tcW w:w="75"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Title:</w:t>
            </w:r>
          </w:p>
        </w:tc>
        <w:tc>
          <w:tcPr>
            <w:tcW w:w="6423" w:type="dxa"/>
            <w:tcBorders/>
            <w:vAlign w:val="center"/>
          </w:tcPr>
          <w:p>
            <w:pPr>
              <w:pStyle w:val="TableContents"/>
              <w:bidi w:val="0"/>
              <w:spacing w:before="0" w:after="283"/>
              <w:jc w:val="left"/>
              <w:rPr/>
            </w:pPr>
            <w:r>
              <w:rPr/>
              <w:t>Vice President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Ninth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 – Form of Global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Trinity Capital Inc. </w:t>
      </w:r>
    </w:p>
    <w:tbl>
      <w:tblPr>
        <w:tblW w:w="2545" w:type="dxa"/>
        <w:jc w:val="left"/>
        <w:tblInd w:w="0" w:type="dxa"/>
        <w:tblLayout w:type="fixed"/>
        <w:tblCellMar>
          <w:top w:w="0" w:type="dxa"/>
          <w:left w:w="0" w:type="dxa"/>
          <w:bottom w:w="0" w:type="dxa"/>
          <w:right w:w="0" w:type="dxa"/>
        </w:tblCellMar>
      </w:tblPr>
      <w:tblGrid>
        <w:gridCol w:w="320"/>
        <w:gridCol w:w="60"/>
        <w:gridCol w:w="2165"/>
      </w:tblGrid>
      <w:tr>
        <w:trPr/>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20"/>
              </w:rPr>
            </w:pPr>
            <w:r>
              <w:rPr>
                <w:sz w:val="20"/>
              </w:rPr>
              <w:t xml:space="preserve">Initially $ </w:t>
            </w:r>
          </w:p>
        </w:tc>
      </w:tr>
      <w:tr>
        <w:trPr/>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20"/>
              </w:rPr>
            </w:pPr>
            <w:r>
              <w:rPr>
                <w:sz w:val="20"/>
              </w:rPr>
              <w:t xml:space="preserve">CUSIP No. 896442AM2 </w:t>
            </w:r>
          </w:p>
        </w:tc>
      </w:tr>
      <w:tr>
        <w:trPr/>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20"/>
              </w:rPr>
            </w:pPr>
            <w:r>
              <w:rPr>
                <w:sz w:val="20"/>
              </w:rPr>
              <w:t>ISIN No. US896442AM27</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 Notes due 2032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Trinity Capital Inc., a corporation duly organized and existing under the laws of Maryland (herein called the “Company”, which term includes any successor Person under the Indenture hereinafter referred to), for value received, hereby promises to pay to Cede &amp; Co., or registered assigns, the principal sum of [__] dollars (U.S. $[__]), or such other principal sum as shall be set forth in the Schedule of Increases or Decreases attached hereto, on January 15, 2032, and to pay interest thereon from October 5, 2026 or from the most recent Interest Payment Date to which interest has been paid or duly provided for, semi-annually on January 15 and July 15 in each year, commencing January 15, 2027, at the rate of 7.500%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January 1 and July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at the option of the Company payment of interest may be made by check mailed to the address of the Person entitled thereto as such address shall appear in the Security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so long as this Security is registered to Cede &amp; Co., such payment will be made by wire transfer in accordance with the procedures established by the Depository Trust Company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by manual signature, this Security shall not be entitled to any benefit under the Indenture or be valid or obligatory for any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firstLine="720"/>
        <w:jc w:val="left"/>
        <w:rPr>
          <w:caps w:val="false"/>
          <w:smallCaps w:val="false"/>
        </w:rPr>
      </w:pPr>
      <w:r>
        <w:rPr>
          <w:caps w:val="false"/>
          <w:smallCaps w:val="false"/>
        </w:rPr>
        <w:t> </w:t>
      </w:r>
    </w:p>
    <w:tbl>
      <w:tblPr>
        <w:tblW w:w="2739" w:type="dxa"/>
        <w:jc w:val="left"/>
        <w:tblInd w:w="0" w:type="dxa"/>
        <w:tblLayout w:type="fixed"/>
        <w:tblCellMar>
          <w:top w:w="0" w:type="dxa"/>
          <w:left w:w="0" w:type="dxa"/>
          <w:bottom w:w="0" w:type="dxa"/>
          <w:right w:w="0" w:type="dxa"/>
        </w:tblCellMar>
      </w:tblPr>
      <w:tblGrid>
        <w:gridCol w:w="665"/>
        <w:gridCol w:w="684"/>
        <w:gridCol w:w="1390"/>
      </w:tblGrid>
      <w:tr>
        <w:trPr/>
        <w:tc>
          <w:tcPr>
            <w:tcW w:w="665" w:type="dxa"/>
            <w:tcBorders/>
            <w:vAlign w:val="center"/>
          </w:tcPr>
          <w:p>
            <w:pPr>
              <w:pStyle w:val="TableContents"/>
              <w:bidi w:val="0"/>
              <w:spacing w:before="0" w:after="283"/>
              <w:jc w:val="left"/>
              <w:rPr/>
            </w:pPr>
            <w:r>
              <w:rPr/>
              <w:t>Dated:</w:t>
            </w:r>
          </w:p>
        </w:tc>
        <w:tc>
          <w:tcPr>
            <w:tcW w:w="2074"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sz w:val="20"/>
              </w:rPr>
            </w:pPr>
            <w:r>
              <w:rPr>
                <w:sz w:val="20"/>
              </w:rPr>
              <w:t>TRINITY CAPITAL INC.</w:t>
            </w:r>
          </w:p>
        </w:tc>
      </w:tr>
      <w:tr>
        <w:trPr/>
        <w:tc>
          <w:tcPr>
            <w:tcW w:w="66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sz w:val="20"/>
              </w:rPr>
            </w:pPr>
            <w:r>
              <w:rPr>
                <w:sz w:val="20"/>
              </w:rPr>
              <w:t>By:</w:t>
            </w:r>
          </w:p>
        </w:tc>
        <w:tc>
          <w:tcPr>
            <w:tcW w:w="13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left"/>
              <w:rPr>
                <w:sz w:val="20"/>
              </w:rPr>
            </w:pPr>
            <w:r>
              <w:rPr>
                <w:sz w:val="20"/>
              </w:rPr>
              <w:t>Name:  </w:t>
            </w:r>
          </w:p>
        </w:tc>
      </w:tr>
      <w:tr>
        <w:trPr/>
        <w:tc>
          <w:tcPr>
            <w:tcW w:w="665"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left"/>
              <w:rPr/>
            </w:pPr>
            <w:r>
              <w:rPr/>
              <w:t>Title:  </w:t>
            </w:r>
          </w:p>
        </w:tc>
      </w:tr>
    </w:tbl>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575"/>
        <w:gridCol w:w="680"/>
        <w:gridCol w:w="75"/>
      </w:tblGrid>
      <w:tr>
        <w:trPr/>
        <w:tc>
          <w:tcPr>
            <w:tcW w:w="575" w:type="dxa"/>
            <w:tcBorders/>
            <w:vAlign w:val="center"/>
          </w:tcPr>
          <w:p>
            <w:pPr>
              <w:pStyle w:val="TableContents"/>
              <w:bidi w:val="0"/>
              <w:spacing w:before="0" w:after="283"/>
              <w:jc w:val="left"/>
              <w:rPr>
                <w:sz w:val="20"/>
              </w:rPr>
            </w:pPr>
            <w:r>
              <w:rPr>
                <w:sz w:val="20"/>
              </w:rPr>
              <w:t>Attest:</w:t>
            </w:r>
          </w:p>
        </w:tc>
        <w:tc>
          <w:tcPr>
            <w:tcW w:w="6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20"/>
              </w:rPr>
            </w:pPr>
            <w:r>
              <w:rPr>
                <w:sz w:val="20"/>
              </w:rPr>
              <w:t>Name:   </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20"/>
              </w:rPr>
            </w:pPr>
            <w:r>
              <w:rPr>
                <w:sz w:val="20"/>
              </w:rPr>
              <w:t>Title: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tbl>
      <w:tblPr>
        <w:tblW w:w="6549" w:type="dxa"/>
        <w:jc w:val="left"/>
        <w:tblInd w:w="0" w:type="dxa"/>
        <w:tblLayout w:type="fixed"/>
        <w:tblCellMar>
          <w:top w:w="0" w:type="dxa"/>
          <w:left w:w="0" w:type="dxa"/>
          <w:bottom w:w="0" w:type="dxa"/>
          <w:right w:w="0" w:type="dxa"/>
        </w:tblCellMar>
      </w:tblPr>
      <w:tblGrid>
        <w:gridCol w:w="665"/>
        <w:gridCol w:w="892"/>
        <w:gridCol w:w="4992"/>
      </w:tblGrid>
      <w:tr>
        <w:trPr/>
        <w:tc>
          <w:tcPr>
            <w:tcW w:w="665" w:type="dxa"/>
            <w:tcBorders/>
            <w:vAlign w:val="center"/>
          </w:tcPr>
          <w:p>
            <w:pPr>
              <w:pStyle w:val="TableContents"/>
              <w:bidi w:val="0"/>
              <w:spacing w:before="0" w:after="283"/>
              <w:jc w:val="left"/>
              <w:rPr/>
            </w:pPr>
            <w:r>
              <w:rPr/>
              <w:t>Dated:</w:t>
            </w:r>
          </w:p>
        </w:tc>
        <w:tc>
          <w:tcPr>
            <w:tcW w:w="5884"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sz w:val="20"/>
              </w:rPr>
            </w:pPr>
            <w:r>
              <w:rPr>
                <w:sz w:val="20"/>
              </w:rPr>
              <w:t>U.S. BANK TRUST COMPANY, NATIONAL ASSOCIATION, as Trustee</w:t>
            </w:r>
          </w:p>
        </w:tc>
      </w:tr>
      <w:tr>
        <w:trPr/>
        <w:tc>
          <w:tcPr>
            <w:tcW w:w="66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sz w:val="20"/>
              </w:rPr>
            </w:pPr>
            <w:r>
              <w:rPr>
                <w:sz w:val="20"/>
              </w:rPr>
              <w:t>By:</w:t>
            </w:r>
          </w:p>
        </w:tc>
        <w:tc>
          <w:tcPr>
            <w:tcW w:w="499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Trinity Capital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 Notes due 2032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in one or more series under an Indenture, dated as of January 16, 2020 (herein called the “Base Indenture”, which term shall have the meaning assigned to it in such instrument), between the Company and U.S. Bank Trust Company,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Ninth Supplemental Indenture, relating to the Securities, dated as of October 5, 2026, by and between the Company and the Trustee (herein called the “Ninth Supplemental Indenture”; and together with the Base Indenture, the “Indenture”). In the event of any conflict between the Base Indenture and the Ninth Supplemental Indenture, the Ninth Supplemental Indenture shall govern and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Security is one of the series designated on the face hereof, initially limited in aggregate principal amount to $350,000,000.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Additional Securities must either (i) be issued in a “qualified reopening” for U.S. Federal income tax purposes, with no more than a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the Company may redeem the Securities of this series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100% of the principal amount of the Securities to be redeemed,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50 basis points less (b) interest accrued to the redemption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of this series, in whole or in part, at any time and from time to time, at a Redemption Price equal to 100% of the principal amount of the Securities being redeemed plus accrued and unpaid interest thereon to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calculating the Redemption Price in connection with the redemption of the Securities, on any Redemption Date, the following terms have the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December 15, 2031.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shall be given in writing and mailed, first-class postage prepaid or by overnight courier guaranteeing next-day delivery, or sent electronically in accordance with Applicable Procedures with respect to Securities in global form, to each Holder of the Securities to be redeemed, not less than 10 nor more than 60 days prior to the Redemption Date, at the Holder’s address appearing in the Security Register. All notices of redemption shall contain the information set forth in Section 11.04 of the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exercise of the Company’s option to redeem the Securities will be done in compliance with the Investment Company Act, to the extent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elects to redeem only a portion of the Securities, the particular Securities to be redeemed will be selected by the Trustee in accordance with the applicable procedures of the Depositary and in accordance with the Investment Company Act. In the event of redemption of this Security in part only, a new Security or Securities of this series and of like tenor for the unredeemed portion hereof will be issued in the name of the Holder hereof upon the cancellation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partial redemption shall reduce the portion of the principal amount of a Security not redeemed to less than $2,000.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the Securities called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will have the right to require the Company to repurchase their Securities upon the occurrence of a Change of Control Repurchase Event as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and/or security satisfactory to it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minimum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or Trustee may require payment of a sum sufficient to cover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provision of this Security conflicts with the express provisions of the Indenture, the provisions of the Indenture shall govern and be controlling.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this Security shall be governed by and construed in accordance with the laws of the State of New York, without regard to principles of conflicts of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Assignment Form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firstLine="108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3455"/>
        <w:gridCol w:w="2930"/>
      </w:tblGrid>
      <w:tr>
        <w:trPr/>
        <w:tc>
          <w:tcPr>
            <w:tcW w:w="3455" w:type="dxa"/>
            <w:tcBorders/>
            <w:vAlign w:val="center"/>
          </w:tcPr>
          <w:p>
            <w:pPr>
              <w:pStyle w:val="TableContents"/>
              <w:bidi w:val="0"/>
              <w:spacing w:before="0" w:after="283"/>
              <w:jc w:val="left"/>
              <w:rPr>
                <w:sz w:val="20"/>
              </w:rPr>
            </w:pPr>
            <w:r>
              <w:rPr>
                <w:sz w:val="20"/>
              </w:rPr>
              <w:t xml:space="preserve">(I) or (we) assign and transfer this Note to: </w:t>
            </w:r>
          </w:p>
        </w:tc>
        <w:tc>
          <w:tcPr>
            <w:tcW w:w="29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smallCaps/>
                <w:sz w:val="20"/>
              </w:rPr>
            </w:pPr>
            <w:r>
              <w:rPr>
                <w:smallCaps/>
                <w:sz w:val="20"/>
              </w:rPr>
              <w:t>(Insert Assignee’s Legal Name)</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tbl>
      <w:tblPr>
        <w:tblW w:w="2060" w:type="dxa"/>
        <w:jc w:val="left"/>
        <w:tblInd w:w="0" w:type="dxa"/>
        <w:tblLayout w:type="fixed"/>
        <w:tblCellMar>
          <w:top w:w="0" w:type="dxa"/>
          <w:left w:w="0" w:type="dxa"/>
          <w:bottom w:w="0" w:type="dxa"/>
          <w:right w:w="0" w:type="dxa"/>
        </w:tblCellMar>
      </w:tblPr>
      <w:tblGrid>
        <w:gridCol w:w="1985"/>
        <w:gridCol w:w="75"/>
      </w:tblGrid>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this Note on the books of the Company. The agent may substitute another to act for him.</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370"/>
        <w:gridCol w:w="4865"/>
      </w:tblGrid>
      <w:tr>
        <w:trPr/>
        <w:tc>
          <w:tcPr>
            <w:tcW w:w="1370" w:type="dxa"/>
            <w:tcBorders/>
            <w:vAlign w:val="center"/>
          </w:tcPr>
          <w:p>
            <w:pPr>
              <w:pStyle w:val="TableContents"/>
              <w:bidi w:val="0"/>
              <w:spacing w:before="0" w:after="283"/>
              <w:jc w:val="right"/>
              <w:rPr>
                <w:sz w:val="20"/>
              </w:rPr>
            </w:pPr>
            <w:r>
              <w:rPr>
                <w:sz w:val="20"/>
              </w:rPr>
              <w:t xml:space="preserve">Your Signature: </w:t>
            </w:r>
          </w:p>
        </w:tc>
        <w:tc>
          <w:tcPr>
            <w:tcW w:w="48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(Sign exactly as your name appears on the face of this Note)</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sz w:val="20"/>
              </w:rPr>
            </w:pPr>
            <w:r>
              <w:rPr>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 xml:space="preserve">Participant in a recognized Signature Guarantee Medallion Program (or other signature guarantor acceptable to the Trustee).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97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Company pursuant to Section 13.01 of the Indenture, check the box below:</w:t>
      </w:r>
    </w:p>
    <w:p>
      <w:pPr>
        <w:pStyle w:val="TextBody"/>
        <w:bidi w:val="0"/>
        <w:spacing w:before="0" w:after="0"/>
        <w:ind w:left="0" w:right="0" w:firstLine="1591"/>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Section 13.01</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97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Company pursuant to Section 13.01 of the Indenture, state the amount you elect to have purchased:</w:t>
      </w:r>
    </w:p>
    <w:tbl>
      <w:tblPr>
        <w:tblW w:w="275" w:type="dxa"/>
        <w:jc w:val="left"/>
        <w:tblInd w:w="0" w:type="dxa"/>
        <w:tblLayout w:type="fixed"/>
        <w:tblCellMar>
          <w:top w:w="0" w:type="dxa"/>
          <w:left w:w="0" w:type="dxa"/>
          <w:bottom w:w="0" w:type="dxa"/>
          <w:right w:w="0" w:type="dxa"/>
        </w:tblCellMar>
      </w:tblPr>
      <w:tblGrid>
        <w:gridCol w:w="140"/>
        <w:gridCol w:w="60"/>
        <w:gridCol w:w="75"/>
      </w:tblGrid>
      <w:tr>
        <w:trPr/>
        <w:tc>
          <w:tcPr>
            <w:tcW w:w="140" w:type="dxa"/>
            <w:tcBorders/>
            <w:vAlign w:val="center"/>
          </w:tcPr>
          <w:p>
            <w:pPr>
              <w:pStyle w:val="TableContents"/>
              <w:bidi w:val="0"/>
              <w:spacing w:before="0" w:after="283"/>
              <w:jc w:val="righ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325"/>
        <w:gridCol w:w="4865"/>
      </w:tblGrid>
      <w:tr>
        <w:trPr/>
        <w:tc>
          <w:tcPr>
            <w:tcW w:w="1325" w:type="dxa"/>
            <w:tcBorders/>
            <w:vAlign w:val="center"/>
          </w:tcPr>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48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(Sign exactly as your name appears on the face of this Note)</w:t>
            </w:r>
          </w:p>
        </w:tc>
      </w:tr>
    </w:tbl>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1895"/>
        <w:gridCol w:w="75"/>
      </w:tblGrid>
      <w:tr>
        <w:trPr/>
        <w:tc>
          <w:tcPr>
            <w:tcW w:w="1895" w:type="dxa"/>
            <w:tcBorders/>
            <w:vAlign w:val="center"/>
          </w:tcPr>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sz w:val="20"/>
              </w:rPr>
            </w:pPr>
            <w:r>
              <w:rPr>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283"/>
              <w:jc w:val="both"/>
              <w:rPr>
                <w:sz w:val="20"/>
              </w:rPr>
            </w:pPr>
            <w:r>
              <w:rPr>
                <w:sz w:val="20"/>
              </w:rPr>
              <w:t xml:space="preserve">Participant in a recognized Signature Guarantee Medallion Program (or other signature guarantor acceptable to the Trustee).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AND DECREASES OF GLOBAL NOTE</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97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$______. The following increases and decreases to this Global Note have been made:</w:t>
      </w:r>
    </w:p>
    <w:tbl>
      <w:tblPr>
        <w:tblW w:w="8980" w:type="dxa"/>
        <w:jc w:val="left"/>
        <w:tblInd w:w="0" w:type="dxa"/>
        <w:tblLayout w:type="fixed"/>
        <w:tblCellMar>
          <w:top w:w="0" w:type="dxa"/>
          <w:left w:w="0" w:type="dxa"/>
          <w:bottom w:w="0" w:type="dxa"/>
          <w:right w:w="0" w:type="dxa"/>
        </w:tblCellMar>
      </w:tblPr>
      <w:tblGrid>
        <w:gridCol w:w="1535"/>
        <w:gridCol w:w="60"/>
        <w:gridCol w:w="1865"/>
        <w:gridCol w:w="60"/>
        <w:gridCol w:w="1805"/>
        <w:gridCol w:w="60"/>
        <w:gridCol w:w="1745"/>
        <w:gridCol w:w="60"/>
        <w:gridCol w:w="1790"/>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153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Increase or</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30" w:type="dxa"/>
            </w:tcMar>
            <w:vAlign w:val="center"/>
          </w:tcPr>
          <w:p>
            <w:pPr>
              <w:pStyle w:val="TableContents"/>
              <w:bidi w:val="0"/>
              <w:spacing w:before="0" w:after="283"/>
              <w:jc w:val="center"/>
              <w:rPr>
                <w:sz w:val="20"/>
              </w:rPr>
            </w:pPr>
            <w:r>
              <w:rPr>
                <w:sz w:val="20"/>
              </w:rPr>
              <w:t>Amount of Decrease in</w:t>
              <w:br/>
              <w:t>Principal Amount at</w:t>
              <w:br/>
              <w:t>Maturity</w:t>
              <w:br/>
              <w:t>of this Global Note</w:t>
            </w:r>
          </w:p>
        </w:tc>
        <w:tc>
          <w:tcPr>
            <w:tcW w:w="60" w:type="dxa"/>
            <w:tcBorders/>
            <w:vAlign w:val="center"/>
          </w:tcPr>
          <w:p>
            <w:pPr>
              <w:pStyle w:val="TableContents"/>
              <w:bidi w:val="0"/>
              <w:spacing w:before="0" w:after="283"/>
              <w:jc w:val="left"/>
              <w:rPr/>
            </w:pPr>
            <w:r>
              <w:rPr/>
              <w:t> </w:t>
            </w:r>
          </w:p>
        </w:tc>
        <w:tc>
          <w:tcPr>
            <w:tcW w:w="1805" w:type="dxa"/>
            <w:tcBorders>
              <w:bottom w:val="single" w:sz="8" w:space="0" w:color="000000"/>
            </w:tcBorders>
            <w:tcMar>
              <w:bottom w:w="30" w:type="dxa"/>
            </w:tcMar>
            <w:vAlign w:val="center"/>
          </w:tcPr>
          <w:p>
            <w:pPr>
              <w:pStyle w:val="TableContents"/>
              <w:bidi w:val="0"/>
              <w:spacing w:before="0" w:after="283"/>
              <w:jc w:val="center"/>
              <w:rPr>
                <w:sz w:val="20"/>
              </w:rPr>
            </w:pPr>
            <w:r>
              <w:rPr>
                <w:sz w:val="20"/>
              </w:rPr>
              <w:t>Amount of Increase in</w:t>
              <w:br/>
              <w:t>Principal Amount at</w:t>
              <w:br/>
              <w:t>Maturity</w:t>
              <w:br/>
              <w:t>of this Global Note</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30" w:type="dxa"/>
            </w:tcMar>
            <w:vAlign w:val="center"/>
          </w:tcPr>
          <w:p>
            <w:pPr>
              <w:pStyle w:val="TableContents"/>
              <w:bidi w:val="0"/>
              <w:spacing w:before="0" w:after="283"/>
              <w:jc w:val="center"/>
              <w:rPr>
                <w:sz w:val="20"/>
              </w:rPr>
            </w:pPr>
            <w:r>
              <w:rPr>
                <w:sz w:val="20"/>
              </w:rPr>
              <w:t>Principal Amount at</w:t>
              <w:br/>
              <w:t>Maturity</w:t>
              <w:br/>
              <w:t>of this Global Note</w:t>
              <w:br/>
              <w:t>Following such</w:t>
              <w:br/>
              <w:t>decrease (or increase)</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30" w:type="dxa"/>
            </w:tcMar>
            <w:vAlign w:val="center"/>
          </w:tcPr>
          <w:p>
            <w:pPr>
              <w:pStyle w:val="TableContents"/>
              <w:bidi w:val="0"/>
              <w:spacing w:before="0" w:after="283"/>
              <w:jc w:val="center"/>
              <w:rPr>
                <w:sz w:val="20"/>
              </w:rPr>
            </w:pPr>
            <w:r>
              <w:rPr>
                <w:sz w:val="20"/>
              </w:rPr>
              <w:t>Signature of</w:t>
              <w:br/>
              <w:t>Authorized Signatory</w:t>
              <w:br/>
              <w:t>of Trustee or DTC</w:t>
              <w:br/>
              <w:t>Custodian</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left"/>
              <w:rPr/>
            </w:pPr>
            <w:r>
              <w:rPr/>
              <w:t> </w:t>
            </w:r>
          </w:p>
        </w:tc>
      </w:tr>
      <w:tr>
        <w:trPr/>
        <w:tc>
          <w:tcPr>
            <w:tcW w:w="15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6" w:name="ea030735901_ex5-1.htm"/>
      <w:bookmarkStart w:id="7" w:name="ksea030735901_ex51"/>
      <w:bookmarkEnd w:id="6"/>
      <w:bookmarkEnd w:id="7"/>
      <w:r>
        <w:rPr>
          <w:b/>
        </w:rPr>
        <w:t>Exhibit 5.1</w:t>
      </w:r>
      <w:r>
        <w:br w:type="page"/>
      </w:r>
    </w:p>
    <w:p>
      <w:pPr>
        <w:pStyle w:val="TextBody"/>
        <w:bidi w:val="0"/>
        <w:spacing w:before="0" w:after="283"/>
        <w:jc w:val="left"/>
        <w:rPr/>
      </w:pPr>
      <w:r>
        <w:rPr/>
        <w:t> </w:t>
      </w:r>
    </w:p>
    <w:tbl>
      <w:tblPr>
        <w:tblW w:w="3845" w:type="dxa"/>
        <w:jc w:val="left"/>
        <w:tblInd w:w="0" w:type="dxa"/>
        <w:tblLayout w:type="fixed"/>
        <w:tblCellMar>
          <w:top w:w="0" w:type="dxa"/>
          <w:left w:w="0" w:type="dxa"/>
          <w:bottom w:w="0" w:type="dxa"/>
          <w:right w:w="0" w:type="dxa"/>
        </w:tblCellMar>
      </w:tblPr>
      <w:tblGrid>
        <w:gridCol w:w="1410"/>
        <w:gridCol w:w="2435"/>
      </w:tblGrid>
      <w:tr>
        <w:trPr/>
        <w:tc>
          <w:tcPr>
            <w:tcW w:w="1410" w:type="dxa"/>
            <w:tcBorders/>
            <w:vAlign w:val="center"/>
          </w:tcPr>
          <w:p>
            <w:pPr>
              <w:pStyle w:val="TableContents"/>
              <w:bidi w:val="0"/>
              <w:spacing w:before="0" w:after="283"/>
              <w:jc w:val="left"/>
              <w:rPr/>
            </w:pPr>
            <w:r>
              <w:rPr/>
              <w:drawing>
                <wp:inline distT="0" distB="0" distL="0" distR="0">
                  <wp:extent cx="8477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847725" cy="771525"/>
                          </a:xfrm>
                          <a:prstGeom prst="rect">
                            <a:avLst/>
                          </a:prstGeom>
                        </pic:spPr>
                      </pic:pic>
                    </a:graphicData>
                  </a:graphic>
                </wp:inline>
              </w:drawing>
            </w:r>
            <w:r>
              <w:rPr/>
              <w:t> </w:t>
            </w:r>
          </w:p>
        </w:tc>
        <w:tc>
          <w:tcPr>
            <w:tcW w:w="24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 K Street, NW</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20006-1110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+1 202 261 3300 Main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+1 202 261 3333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www.dechert.com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283"/>
              <w:jc w:val="left"/>
              <w:rPr>
                <w:bdr w:val="single" w:sz="8" w:space="1" w:color="000000"/>
              </w:rPr>
            </w:pPr>
            <w:r>
              <w:rPr>
                <w:bdr w:val="single" w:sz="8" w:space="1" w:color="000000"/>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Trinity Capital Inc.</w:t>
        <w:br/>
        <w:t>1 N. 1st Street, Suite 302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Phoenix, Arizona 85004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Trinity Capital Inc., a Maryland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of a registration statement on Form N-2 (File No. 333-289495), which became immediately effective upon its filing with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on August 11, 2025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the final prospectus supplement, dated September 30, 2026 (including the base prospectus filed therewith,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filed with the Commission on October 2, 2026 pursuant to Rule 424 under the Securities Act, relating to the proposed issuance by the Company of $350,000,000 aggregate principal amount of 7.500% Notes due 2032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to be sold to underwriters pursuant to an underwriting agreement, dated as of September 30, 2026, which is substantially in the form filed as Exhibit 1.1 to the Company’s Current Report on Form 8-K filed with the Commission on October 5, 2026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This opinion letter is being furnished to the Company in accordance with the requirements of Item 25 of Form N-2 under the Securities Act, and we express no opinion herein as to any matter other than as to the legality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to be issued pursuant to the indenture, dated as of January 16, 2020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Company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is incorporated by reference as an exhibit to the Registration Statement, as supplemented by an ninth supplemental indenture, filed by the Company as Exhibit 4.2 to a Current Report on Form 8-K filed with the Commission on October 5, 2026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050" w:type="dxa"/>
        <w:jc w:val="left"/>
        <w:tblInd w:w="0" w:type="dxa"/>
        <w:tblLayout w:type="fixed"/>
        <w:tblCellMar>
          <w:top w:w="0" w:type="dxa"/>
          <w:left w:w="0" w:type="dxa"/>
          <w:bottom w:w="0" w:type="dxa"/>
          <w:right w:w="0" w:type="dxa"/>
        </w:tblCellMar>
      </w:tblPr>
      <w:tblGrid>
        <w:gridCol w:w="1410"/>
        <w:gridCol w:w="1640"/>
      </w:tblGrid>
      <w:tr>
        <w:trPr/>
        <w:tc>
          <w:tcPr>
            <w:tcW w:w="1410" w:type="dxa"/>
            <w:tcBorders/>
            <w:vAlign w:val="center"/>
          </w:tcPr>
          <w:p>
            <w:pPr>
              <w:pStyle w:val="TableContents"/>
              <w:bidi w:val="0"/>
              <w:spacing w:before="0" w:after="283"/>
              <w:jc w:val="left"/>
              <w:rPr/>
            </w:pPr>
            <w:r>
              <w:rPr/>
              <w:drawing>
                <wp:inline distT="0" distB="0" distL="0" distR="0">
                  <wp:extent cx="84772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847725" cy="771525"/>
                          </a:xfrm>
                          <a:prstGeom prst="rect">
                            <a:avLst/>
                          </a:prstGeom>
                        </pic:spPr>
                      </pic:pic>
                    </a:graphicData>
                  </a:graphic>
                </wp:inline>
              </w:drawing>
            </w:r>
            <w:r>
              <w:rPr/>
              <w:t> </w:t>
            </w:r>
          </w:p>
        </w:tc>
        <w:tc>
          <w:tcPr>
            <w:tcW w:w="1640" w:type="dxa"/>
            <w:tcBorders/>
            <w:vAlign w:val="center"/>
          </w:tcPr>
          <w:p>
            <w:pPr>
              <w:pStyle w:val="TableContents"/>
              <w:bidi w:val="0"/>
              <w:spacing w:before="0" w:after="283"/>
              <w:jc w:val="right"/>
              <w:rPr/>
            </w:pPr>
            <w:r>
              <w:rPr/>
              <w:t xml:space="preserve">October 5, 2026 </w:t>
              <w:br/>
              <w:t xml:space="preserve">Page 2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pStyle w:val="TextBody"/>
        <w:bidi w:val="0"/>
        <w:spacing w:before="0" w:after="0"/>
        <w:ind w:left="1430" w:right="0" w:hanging="7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(i)</w:t>
            </w:r>
          </w:p>
        </w:tc>
        <w:tc>
          <w:tcPr>
            <w:tcW w:w="9972" w:type="dxa"/>
            <w:tcBorders/>
            <w:vAlign w:val="center"/>
          </w:tcPr>
          <w:p>
            <w:pPr>
              <w:pStyle w:val="TableContents"/>
              <w:bidi w:val="0"/>
              <w:spacing w:before="0" w:after="283"/>
              <w:jc w:val="both"/>
              <w:rPr/>
            </w:pPr>
            <w:r>
              <w:rPr/>
              <w:t>the Articles of Amendment and Restatement of the Company, certified as of a recent date by the State Department of Assessments and Taxation of the State of Maryland (the “</w:t>
            </w:r>
            <w:r>
              <w:rPr>
                <w:u w:val="single"/>
              </w:rPr>
              <w:t>SDAT</w:t>
            </w:r>
            <w:r>
              <w:rPr/>
              <w:t>”);</w:t>
            </w:r>
          </w:p>
        </w:tc>
      </w:tr>
    </w:tbl>
    <w:p>
      <w:pPr>
        <w:pStyle w:val="TextBody"/>
        <w:bidi w:val="0"/>
        <w:spacing w:before="0" w:after="0"/>
        <w:ind w:left="1430" w:right="0" w:hanging="7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(ii)</w:t>
            </w:r>
          </w:p>
        </w:tc>
        <w:tc>
          <w:tcPr>
            <w:tcW w:w="9887" w:type="dxa"/>
            <w:tcBorders/>
            <w:vAlign w:val="center"/>
          </w:tcPr>
          <w:p>
            <w:pPr>
              <w:pStyle w:val="TableContents"/>
              <w:bidi w:val="0"/>
              <w:spacing w:before="0" w:after="283"/>
              <w:jc w:val="both"/>
              <w:rPr/>
            </w:pPr>
            <w:r>
              <w:rPr/>
              <w:t>the Bylaws of the Company, certified as of the date of this opinion letter by an officer of the Company (the “</w:t>
            </w:r>
            <w:r>
              <w:rPr>
                <w:u w:val="single"/>
              </w:rPr>
              <w:t>Bylaws</w:t>
            </w:r>
            <w:r>
              <w:rPr/>
              <w:t>”);</w:t>
            </w:r>
          </w:p>
        </w:tc>
      </w:tr>
    </w:tbl>
    <w:p>
      <w:pPr>
        <w:pStyle w:val="TextBody"/>
        <w:bidi w:val="0"/>
        <w:spacing w:before="0" w:after="0"/>
        <w:ind w:left="1430" w:right="0" w:hanging="71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35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9170" w:type="dxa"/>
            <w:tcBorders/>
            <w:vAlign w:val="center"/>
          </w:tcPr>
          <w:p>
            <w:pPr>
              <w:pStyle w:val="TableContents"/>
              <w:bidi w:val="0"/>
              <w:spacing w:before="0" w:after="283"/>
              <w:jc w:val="both"/>
              <w:rPr/>
            </w:pPr>
            <w:r>
              <w:rPr/>
              <w:t>a Certificate of Good Standing with respect to the Company issued by SDAT as of a recent date;</w:t>
            </w:r>
          </w:p>
        </w:tc>
      </w:tr>
    </w:tbl>
    <w:p>
      <w:pPr>
        <w:pStyle w:val="TextBody"/>
        <w:bidi w:val="0"/>
        <w:spacing w:before="0" w:after="0"/>
        <w:ind w:left="1430" w:right="0" w:hanging="7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(iv)</w:t>
            </w:r>
          </w:p>
        </w:tc>
        <w:tc>
          <w:tcPr>
            <w:tcW w:w="9875" w:type="dxa"/>
            <w:tcBorders/>
            <w:vAlign w:val="center"/>
          </w:tcPr>
          <w:p>
            <w:pPr>
              <w:pStyle w:val="TableContents"/>
              <w:bidi w:val="0"/>
              <w:spacing w:before="0" w:after="283"/>
              <w:jc w:val="both"/>
              <w:rPr/>
            </w:pPr>
            <w:r>
              <w:rPr/>
              <w:t>resolutions of the board of directors of the Company, or a duly authorized committee thereof, relating to, among other things, (a) the authorization and approval of the preparation and filing of the Registration Statement, (b) the authorization, execution and delivery of the Indenture and (c) the authorization, issuance and sale of the Notes, certified as of the date hereof by an officer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29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2825" w:type="dxa"/>
            <w:tcBorders/>
            <w:vAlign w:val="center"/>
          </w:tcPr>
          <w:p>
            <w:pPr>
              <w:pStyle w:val="TableContents"/>
              <w:bidi w:val="0"/>
              <w:spacing w:before="0" w:after="283"/>
              <w:jc w:val="both"/>
              <w:rPr/>
            </w:pPr>
            <w:r>
              <w:rPr/>
              <w:t>the Underwriting Agreement;</w:t>
            </w:r>
          </w:p>
        </w:tc>
      </w:tr>
    </w:tbl>
    <w:p>
      <w:pPr>
        <w:pStyle w:val="TextBody"/>
        <w:bidi w:val="0"/>
        <w:spacing w:before="0" w:after="0"/>
        <w:ind w:left="1430" w:right="0" w:hanging="71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35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(vi)</w:t>
            </w:r>
          </w:p>
        </w:tc>
        <w:tc>
          <w:tcPr>
            <w:tcW w:w="1745" w:type="dxa"/>
            <w:tcBorders/>
            <w:vAlign w:val="center"/>
          </w:tcPr>
          <w:p>
            <w:pPr>
              <w:pStyle w:val="TableContents"/>
              <w:bidi w:val="0"/>
              <w:spacing w:before="0" w:after="283"/>
              <w:jc w:val="both"/>
              <w:rPr/>
            </w:pPr>
            <w:r>
              <w:rPr/>
              <w:t>the Indenture; and</w:t>
            </w:r>
          </w:p>
        </w:tc>
      </w:tr>
    </w:tbl>
    <w:p>
      <w:pPr>
        <w:pStyle w:val="TextBody"/>
        <w:bidi w:val="0"/>
        <w:spacing w:before="0" w:after="0"/>
        <w:ind w:left="1430" w:right="0" w:hanging="7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8"/>
        <w:gridCol w:w="9759"/>
      </w:tblGrid>
      <w:tr>
        <w:trPr/>
        <w:tc>
          <w:tcPr>
            <w:tcW w:w="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(vii)</w:t>
            </w:r>
          </w:p>
        </w:tc>
        <w:tc>
          <w:tcPr>
            <w:tcW w:w="9759" w:type="dxa"/>
            <w:tcBorders/>
            <w:vAlign w:val="center"/>
          </w:tcPr>
          <w:p>
            <w:pPr>
              <w:pStyle w:val="TableContents"/>
              <w:bidi w:val="0"/>
              <w:spacing w:before="0" w:after="283"/>
              <w:jc w:val="left"/>
              <w:rPr/>
            </w:pPr>
            <w:r>
              <w:rPr/>
              <w:t>a specimen copy of the Notes to be issued pursuant to the Indenture in the form attached to the Indenture.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the facts upon which this opinion letter is based, we have relied, to the extent we deem proper, upon certificates of public officials (which we have assumed remain accurate as of the date of this opinion letter) and certificates and written statements of agents, officers, directors and representatives of the Company without having independently verified such factual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 (other than the Company). We have further assumed that there has been no oral modification of, or amendment or supplement (including any express or implied waiver, however arising) to, any of the agreements, documents or instruments used by us to form the basis of the opinion expressed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050" w:type="dxa"/>
        <w:jc w:val="left"/>
        <w:tblInd w:w="0" w:type="dxa"/>
        <w:tblLayout w:type="fixed"/>
        <w:tblCellMar>
          <w:top w:w="0" w:type="dxa"/>
          <w:left w:w="0" w:type="dxa"/>
          <w:bottom w:w="0" w:type="dxa"/>
          <w:right w:w="0" w:type="dxa"/>
        </w:tblCellMar>
      </w:tblPr>
      <w:tblGrid>
        <w:gridCol w:w="1410"/>
        <w:gridCol w:w="1640"/>
      </w:tblGrid>
      <w:tr>
        <w:trPr/>
        <w:tc>
          <w:tcPr>
            <w:tcW w:w="1410" w:type="dxa"/>
            <w:tcBorders/>
            <w:vAlign w:val="center"/>
          </w:tcPr>
          <w:p>
            <w:pPr>
              <w:pStyle w:val="TableContents"/>
              <w:bidi w:val="0"/>
              <w:spacing w:before="0" w:after="283"/>
              <w:jc w:val="left"/>
              <w:rPr/>
            </w:pPr>
            <w:r>
              <w:rPr/>
              <w:drawing>
                <wp:inline distT="0" distB="0" distL="0" distR="0">
                  <wp:extent cx="8477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847725" cy="771525"/>
                          </a:xfrm>
                          <a:prstGeom prst="rect">
                            <a:avLst/>
                          </a:prstGeom>
                        </pic:spPr>
                      </pic:pic>
                    </a:graphicData>
                  </a:graphic>
                </wp:inline>
              </w:drawing>
            </w:r>
            <w:r>
              <w:rPr/>
              <w:t> </w:t>
            </w:r>
          </w:p>
        </w:tc>
        <w:tc>
          <w:tcPr>
            <w:tcW w:w="1640" w:type="dxa"/>
            <w:tcBorders/>
            <w:vAlign w:val="center"/>
          </w:tcPr>
          <w:p>
            <w:pPr>
              <w:pStyle w:val="TableContents"/>
              <w:bidi w:val="0"/>
              <w:spacing w:before="0" w:after="283"/>
              <w:jc w:val="right"/>
              <w:rPr/>
            </w:pPr>
            <w:r>
              <w:rPr/>
              <w:t xml:space="preserve">October 5, 2026 </w:t>
              <w:br/>
              <w:t>Page 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subject to the assumptions, qualifications and limitations set forth in this opinion letter, we are of the opinion that, when the Notes are duly executed and delivered by duly authorized officers of the Company and duly authenticated by the Trustee, all in accordance with the provisions of the Indenture, and delivered to the underwriters against payment therefor in accordance with the terms of the Underwriting Agreement, the Notes will constitute valid and legally binding obligations of the Company, enforceable against the Company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herein are subject to the following assumptions and qualifications being true and correct at or before the issuance of the Notes: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283"/>
              <w:jc w:val="both"/>
              <w:rPr/>
            </w:pPr>
            <w:r>
              <w:rPr/>
              <w:t>the Indenture and the Notes have been duly authorized, executed and delivered by each party thereto (other than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(ii)</w:t>
            </w:r>
          </w:p>
        </w:tc>
        <w:tc>
          <w:tcPr>
            <w:tcW w:w="9897" w:type="dxa"/>
            <w:tcBorders/>
            <w:vAlign w:val="center"/>
          </w:tcPr>
          <w:p>
            <w:pPr>
              <w:pStyle w:val="TableContents"/>
              <w:bidi w:val="0"/>
              <w:spacing w:before="0" w:after="283"/>
              <w:jc w:val="both"/>
              <w:rPr/>
            </w:pPr>
            <w:r>
              <w:rPr/>
              <w:t>the terms of the Notes as established comply with the applicable requirements of the Investment Company Act of 1940, as amended;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7"/>
        <w:gridCol w:w="9840"/>
      </w:tblGrid>
      <w:tr>
        <w:trPr/>
        <w:tc>
          <w:tcPr>
            <w:tcW w:w="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(iii)</w:t>
            </w:r>
          </w:p>
        </w:tc>
        <w:tc>
          <w:tcPr>
            <w:tcW w:w="9840" w:type="dxa"/>
            <w:tcBorders/>
            <w:vAlign w:val="center"/>
          </w:tcPr>
          <w:p>
            <w:pPr>
              <w:pStyle w:val="TableContents"/>
              <w:bidi w:val="0"/>
              <w:spacing w:before="0" w:after="283"/>
              <w:jc w:val="both"/>
              <w:rPr/>
            </w:pPr>
            <w:r>
              <w:rPr/>
              <w:t>the Notes have been duly authenticated by the Trustee in accordance with the Indenture and delivered to and paid for by the purchasers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an implied covenant of good faith and fair dealing; (iv) provisions of law which may require that a judgment for money damages rendered by a court in the United States be expressed only in U.S. dollars; (v)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(iv) governmental authority to limit, delay or prohibit the making of payments outside the United States or in foreign currency or composite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050" w:type="dxa"/>
        <w:jc w:val="left"/>
        <w:tblInd w:w="0" w:type="dxa"/>
        <w:tblLayout w:type="fixed"/>
        <w:tblCellMar>
          <w:top w:w="0" w:type="dxa"/>
          <w:left w:w="0" w:type="dxa"/>
          <w:bottom w:w="0" w:type="dxa"/>
          <w:right w:w="0" w:type="dxa"/>
        </w:tblCellMar>
      </w:tblPr>
      <w:tblGrid>
        <w:gridCol w:w="1410"/>
        <w:gridCol w:w="1640"/>
      </w:tblGrid>
      <w:tr>
        <w:trPr/>
        <w:tc>
          <w:tcPr>
            <w:tcW w:w="1410" w:type="dxa"/>
            <w:tcBorders/>
            <w:vAlign w:val="center"/>
          </w:tcPr>
          <w:p>
            <w:pPr>
              <w:pStyle w:val="TableContents"/>
              <w:bidi w:val="0"/>
              <w:spacing w:before="0" w:after="283"/>
              <w:jc w:val="left"/>
              <w:rPr/>
            </w:pPr>
            <w:r>
              <w:rPr/>
              <w:drawing>
                <wp:inline distT="0" distB="0" distL="0" distR="0">
                  <wp:extent cx="847725" cy="771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847725" cy="771525"/>
                          </a:xfrm>
                          <a:prstGeom prst="rect">
                            <a:avLst/>
                          </a:prstGeom>
                        </pic:spPr>
                      </pic:pic>
                    </a:graphicData>
                  </a:graphic>
                </wp:inline>
              </w:drawing>
            </w:r>
            <w:r>
              <w:rPr/>
              <w:t> </w:t>
            </w:r>
          </w:p>
        </w:tc>
        <w:tc>
          <w:tcPr>
            <w:tcW w:w="1640" w:type="dxa"/>
            <w:tcBorders/>
            <w:vAlign w:val="center"/>
          </w:tcPr>
          <w:p>
            <w:pPr>
              <w:pStyle w:val="TableContents"/>
              <w:bidi w:val="0"/>
              <w:spacing w:before="0" w:after="283"/>
              <w:jc w:val="right"/>
              <w:rPr/>
            </w:pPr>
            <w:r>
              <w:rPr/>
              <w:t xml:space="preserve">October 5, 2026 </w:t>
              <w:br/>
              <w:t>Page 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federal laws of the United States of America, the laws of the State of New York and the Maryland General Corporation Law. We are members of the bar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letter has been prepared for the Company’s use solely in connection with the Registration Statement. The opinions expressed in this opinion letter (i) are strictly limited to the matters stated in this opinion letter, and without limiting the foregoing, no other opinions are to be implied and (ii) are only as of the date of this opinion letter, and we are under no obligation, and do not undertake, to advise the addressee of this opinion letter or any other person or entity either of any change of law or fact that occurs, or of any fact that comes to our attention, after the date of this opinion letter, even though such change or such fact may affect the legal analysis or a legal conclusion in this opinion letter.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hereby consent to the filing of this opinion letter as an exhibit to </w:t>
      </w:r>
      <w:r>
        <w:rPr>
          <w:rFonts w:ascii="Times New Roman;Times;Serif" w:hAnsi="Times New Roman;Times;Serif"/>
          <w:b w:val="false"/>
          <w:i w:val="false"/>
          <w:caps w:val="false"/>
          <w:smallCaps w:val="false"/>
          <w:sz w:val="20"/>
          <w:shd w:fill="FFFFFF" w:val="clear"/>
        </w:rPr>
        <w:t xml:space="preserve">the Company’s Current Report on Form 8-K filed with the Commission on October </w:t>
      </w:r>
      <w:r>
        <w:rPr>
          <w:rFonts w:ascii="Times New Roman;Times;Serif" w:hAnsi="Times New Roman;Times;Serif"/>
          <w:b w:val="false"/>
          <w:i w:val="false"/>
          <w:caps w:val="false"/>
          <w:smallCaps w:val="false"/>
          <w:sz w:val="20"/>
        </w:rPr>
        <w:t>5</w:t>
      </w:r>
      <w:r>
        <w:rPr>
          <w:rFonts w:ascii="Times New Roman;Times;Serif" w:hAnsi="Times New Roman;Times;Serif"/>
          <w:b w:val="false"/>
          <w:i w:val="false"/>
          <w:caps w:val="false"/>
          <w:smallCaps w:val="false"/>
          <w:sz w:val="20"/>
          <w:shd w:fill="FFFFFF" w:val="clear"/>
        </w:rPr>
        <w:t xml:space="preserve">, 2026 </w:t>
      </w:r>
      <w:r>
        <w:rPr>
          <w:rFonts w:ascii="Times New Roman;Times;Serif" w:hAnsi="Times New Roman;Times;Serif"/>
          <w:b w:val="false"/>
          <w:i w:val="false"/>
          <w:caps w:val="false"/>
          <w:smallCaps w:val="false"/>
          <w:sz w:val="20"/>
        </w:rPr>
        <w:t xml:space="preserve">and to the reference to our firm under the caption “Legal Matters” in the Prospectus and in the Prospectus Supplement. In giving such consent, we do not admit that we are in the category of persons whose consent is required under Section 7 </w:t>
      </w:r>
      <w:r>
        <w:rPr>
          <w:rFonts w:ascii="Times New Roman;Times;Serif" w:hAnsi="Times New Roman;Times;Serif"/>
          <w:b w:val="false"/>
          <w:i w:val="false"/>
          <w:caps w:val="false"/>
          <w:smallCaps w:val="false"/>
          <w:sz w:val="20"/>
          <w:shd w:fill="FFFFFF" w:val="clear"/>
        </w:rPr>
        <w:t>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Dechert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Dechert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86108/000110465920004792/tv534325_ex4-3.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31435</Words>
  <Characters>165975</Characters>
  <CharactersWithSpaces>197635</CharactersWithSpaces>
  <Paragraphs>1516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