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91586-01_fwp.htm"/>
      <w:bookmarkStart w:id="1" w:name="ksea029158601_fwp"/>
      <w:bookmarkEnd w:id="0"/>
      <w:bookmarkEnd w:id="1"/>
      <w:r>
        <w:rPr>
          <w:rFonts w:ascii="Times New Roman;Times;Serif" w:hAnsi="Times New Roman;Times;Serif"/>
          <w:b/>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Free Writing Prospectus dated May 19,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Relating to Preliminary Prospectus Supplement dated May 19, 2026 and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dated August 11, 2025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333-289495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Trinity Capital Inc.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$300,000,000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7.000% Notes due 2031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TERM SHEET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19,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the final terms of the 7.000% Notes due 2031 (the “Notes”) and should only be read together with the preliminary prospectus supplement of Trinity Capital Inc. (the “Issuer”) dated May 19, 2026, together with the accompanying prospectus dated August 11, 2025 (the “Preliminary Prospectus”), relating to the Notes,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pStyle w:val="TextBody"/>
        <w:bidi w:val="0"/>
        <w:spacing w:before="0" w:after="0"/>
        <w:ind w:left="0" w:right="0" w:firstLine="72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3065"/>
        <w:gridCol w:w="4940"/>
      </w:tblGrid>
      <w:tr>
        <w:trPr/>
        <w:tc>
          <w:tcPr>
            <w:tcW w:w="3065" w:type="dxa"/>
            <w:tcBorders/>
            <w:vAlign w:val="center"/>
          </w:tcPr>
          <w:p>
            <w:pPr>
              <w:pStyle w:val="TableContents"/>
              <w:bidi w:val="0"/>
              <w:spacing w:before="0" w:after="283"/>
              <w:jc w:val="left"/>
              <w:rPr>
                <w:sz w:val="20"/>
              </w:rPr>
            </w:pPr>
            <w:r>
              <w:rPr>
                <w:sz w:val="20"/>
              </w:rPr>
              <w:t>Issuer:</w:t>
            </w:r>
          </w:p>
        </w:tc>
        <w:tc>
          <w:tcPr>
            <w:tcW w:w="4940" w:type="dxa"/>
            <w:tcBorders/>
            <w:vAlign w:val="center"/>
          </w:tcPr>
          <w:p>
            <w:pPr>
              <w:pStyle w:val="TableContents"/>
              <w:bidi w:val="0"/>
              <w:spacing w:before="0" w:after="283"/>
              <w:jc w:val="left"/>
              <w:rPr>
                <w:sz w:val="20"/>
              </w:rPr>
            </w:pPr>
            <w:r>
              <w:rPr>
                <w:sz w:val="20"/>
              </w:rPr>
              <w:t xml:space="preserve">Trinity Capital Inc. </w:t>
            </w:r>
          </w:p>
        </w:tc>
      </w:tr>
      <w:tr>
        <w:trPr/>
        <w:tc>
          <w:tcPr>
            <w:tcW w:w="306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Issuer Ticker:</w:t>
            </w:r>
          </w:p>
        </w:tc>
        <w:tc>
          <w:tcPr>
            <w:tcW w:w="4940" w:type="dxa"/>
            <w:tcBorders/>
            <w:vAlign w:val="center"/>
          </w:tcPr>
          <w:p>
            <w:pPr>
              <w:pStyle w:val="TableContents"/>
              <w:bidi w:val="0"/>
              <w:spacing w:before="0" w:after="283"/>
              <w:jc w:val="left"/>
              <w:rPr>
                <w:sz w:val="20"/>
              </w:rPr>
            </w:pPr>
            <w:r>
              <w:rPr>
                <w:sz w:val="20"/>
              </w:rPr>
              <w:t>TRIN</w:t>
            </w:r>
          </w:p>
        </w:tc>
      </w:tr>
      <w:tr>
        <w:trPr/>
        <w:tc>
          <w:tcPr>
            <w:tcW w:w="306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Security:</w:t>
            </w:r>
          </w:p>
        </w:tc>
        <w:tc>
          <w:tcPr>
            <w:tcW w:w="4940" w:type="dxa"/>
            <w:tcBorders/>
            <w:vAlign w:val="center"/>
          </w:tcPr>
          <w:p>
            <w:pPr>
              <w:pStyle w:val="TableContents"/>
              <w:bidi w:val="0"/>
              <w:spacing w:before="0" w:after="283"/>
              <w:jc w:val="left"/>
              <w:rPr>
                <w:sz w:val="20"/>
              </w:rPr>
            </w:pPr>
            <w:r>
              <w:rPr>
                <w:sz w:val="20"/>
              </w:rPr>
              <w:t>7.000% Notes due 2031</w:t>
            </w:r>
          </w:p>
        </w:tc>
      </w:tr>
      <w:tr>
        <w:trPr/>
        <w:tc>
          <w:tcPr>
            <w:tcW w:w="306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both"/>
              <w:rPr>
                <w:sz w:val="20"/>
              </w:rPr>
            </w:pPr>
            <w:r>
              <w:rPr>
                <w:sz w:val="20"/>
              </w:rPr>
              <w:t>Expected Ratings*:</w:t>
            </w:r>
          </w:p>
        </w:tc>
        <w:tc>
          <w:tcPr>
            <w:tcW w:w="4940" w:type="dxa"/>
            <w:tcBorders/>
            <w:vAlign w:val="center"/>
          </w:tcPr>
          <w:p>
            <w:pPr>
              <w:pStyle w:val="TableContents"/>
              <w:bidi w:val="0"/>
              <w:spacing w:before="0" w:after="283"/>
              <w:jc w:val="left"/>
              <w:rPr>
                <w:sz w:val="20"/>
              </w:rPr>
            </w:pPr>
            <w:r>
              <w:rPr>
                <w:sz w:val="20"/>
              </w:rPr>
              <w:t>Baa3 (Moody’s) / BBBL (Morningstar) / BBB (Egan-Jones)</w:t>
            </w:r>
          </w:p>
        </w:tc>
      </w:tr>
      <w:tr>
        <w:trPr/>
        <w:tc>
          <w:tcPr>
            <w:tcW w:w="306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Trade Date:</w:t>
            </w:r>
          </w:p>
        </w:tc>
        <w:tc>
          <w:tcPr>
            <w:tcW w:w="4940" w:type="dxa"/>
            <w:tcBorders/>
            <w:vAlign w:val="center"/>
          </w:tcPr>
          <w:p>
            <w:pPr>
              <w:pStyle w:val="TableContents"/>
              <w:bidi w:val="0"/>
              <w:spacing w:before="0" w:after="283"/>
              <w:jc w:val="left"/>
              <w:rPr>
                <w:sz w:val="20"/>
              </w:rPr>
            </w:pPr>
            <w:r>
              <w:rPr>
                <w:sz w:val="20"/>
              </w:rPr>
              <w:t>May 19, 2026</w:t>
            </w:r>
          </w:p>
        </w:tc>
      </w:tr>
      <w:tr>
        <w:trPr/>
        <w:tc>
          <w:tcPr>
            <w:tcW w:w="306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Settlement Date**:</w:t>
            </w:r>
          </w:p>
        </w:tc>
        <w:tc>
          <w:tcPr>
            <w:tcW w:w="4940" w:type="dxa"/>
            <w:tcBorders/>
            <w:vAlign w:val="center"/>
          </w:tcPr>
          <w:p>
            <w:pPr>
              <w:pStyle w:val="TableContents"/>
              <w:bidi w:val="0"/>
              <w:spacing w:before="0" w:after="283"/>
              <w:jc w:val="left"/>
              <w:rPr>
                <w:sz w:val="20"/>
              </w:rPr>
            </w:pPr>
            <w:r>
              <w:rPr>
                <w:sz w:val="20"/>
              </w:rPr>
              <w:t>May 21, 2026 (T+2)</w:t>
            </w:r>
          </w:p>
        </w:tc>
      </w:tr>
      <w:tr>
        <w:trPr/>
        <w:tc>
          <w:tcPr>
            <w:tcW w:w="306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Aggregate Principal Amount Offered:</w:t>
            </w:r>
          </w:p>
        </w:tc>
        <w:tc>
          <w:tcPr>
            <w:tcW w:w="4940" w:type="dxa"/>
            <w:tcBorders/>
            <w:vAlign w:val="center"/>
          </w:tcPr>
          <w:p>
            <w:pPr>
              <w:pStyle w:val="TableContents"/>
              <w:bidi w:val="0"/>
              <w:spacing w:before="0" w:after="283"/>
              <w:jc w:val="left"/>
              <w:rPr>
                <w:sz w:val="20"/>
              </w:rPr>
            </w:pPr>
            <w:r>
              <w:rPr>
                <w:sz w:val="20"/>
              </w:rPr>
              <w:t>$300,000,000</w:t>
            </w:r>
          </w:p>
        </w:tc>
      </w:tr>
      <w:tr>
        <w:trPr/>
        <w:tc>
          <w:tcPr>
            <w:tcW w:w="306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Maturity Date:</w:t>
            </w:r>
          </w:p>
        </w:tc>
        <w:tc>
          <w:tcPr>
            <w:tcW w:w="4940" w:type="dxa"/>
            <w:tcBorders/>
            <w:vAlign w:val="center"/>
          </w:tcPr>
          <w:p>
            <w:pPr>
              <w:pStyle w:val="TableContents"/>
              <w:bidi w:val="0"/>
              <w:spacing w:before="0" w:after="283"/>
              <w:jc w:val="left"/>
              <w:rPr>
                <w:sz w:val="20"/>
              </w:rPr>
            </w:pPr>
            <w:r>
              <w:rPr>
                <w:sz w:val="20"/>
              </w:rPr>
              <w:t>May 21, 2031, unless earlier repurchased or redeemed</w:t>
            </w:r>
          </w:p>
        </w:tc>
      </w:tr>
      <w:tr>
        <w:trPr/>
        <w:tc>
          <w:tcPr>
            <w:tcW w:w="306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Price to Public (Issue Price):</w:t>
            </w:r>
          </w:p>
        </w:tc>
        <w:tc>
          <w:tcPr>
            <w:tcW w:w="4940" w:type="dxa"/>
            <w:tcBorders/>
            <w:vAlign w:val="center"/>
          </w:tcPr>
          <w:p>
            <w:pPr>
              <w:pStyle w:val="TableContents"/>
              <w:bidi w:val="0"/>
              <w:spacing w:before="0" w:after="283"/>
              <w:jc w:val="left"/>
              <w:rPr>
                <w:sz w:val="20"/>
              </w:rPr>
            </w:pPr>
            <w:r>
              <w:rPr>
                <w:sz w:val="20"/>
              </w:rPr>
              <w:t>99.181%</w:t>
            </w:r>
          </w:p>
        </w:tc>
      </w:tr>
      <w:tr>
        <w:trPr/>
        <w:tc>
          <w:tcPr>
            <w:tcW w:w="306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Coupon (Interest Rate):</w:t>
            </w:r>
          </w:p>
        </w:tc>
        <w:tc>
          <w:tcPr>
            <w:tcW w:w="4940" w:type="dxa"/>
            <w:tcBorders/>
            <w:vAlign w:val="center"/>
          </w:tcPr>
          <w:p>
            <w:pPr>
              <w:pStyle w:val="TableContents"/>
              <w:bidi w:val="0"/>
              <w:spacing w:before="0" w:after="283"/>
              <w:jc w:val="left"/>
              <w:rPr>
                <w:sz w:val="20"/>
              </w:rPr>
            </w:pPr>
            <w:r>
              <w:rPr>
                <w:sz w:val="20"/>
              </w:rPr>
              <w:t>7.000%</w:t>
            </w:r>
          </w:p>
        </w:tc>
      </w:tr>
      <w:tr>
        <w:trPr/>
        <w:tc>
          <w:tcPr>
            <w:tcW w:w="306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Yield to Maturity:</w:t>
            </w:r>
          </w:p>
        </w:tc>
        <w:tc>
          <w:tcPr>
            <w:tcW w:w="49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7.198%</w:t>
            </w:r>
          </w:p>
        </w:tc>
      </w:tr>
      <w:tr>
        <w:trPr/>
        <w:tc>
          <w:tcPr>
            <w:tcW w:w="306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Spread to Benchmark Treasury:</w:t>
            </w:r>
          </w:p>
        </w:tc>
        <w:tc>
          <w:tcPr>
            <w:tcW w:w="49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+ 287.5 basis points</w:t>
            </w:r>
          </w:p>
        </w:tc>
      </w:tr>
      <w:tr>
        <w:trPr/>
        <w:tc>
          <w:tcPr>
            <w:tcW w:w="306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 xml:space="preserve">Benchmark Treasury: </w:t>
            </w:r>
          </w:p>
        </w:tc>
        <w:tc>
          <w:tcPr>
            <w:tcW w:w="4940" w:type="dxa"/>
            <w:tcBorders/>
            <w:vAlign w:val="center"/>
          </w:tcPr>
          <w:p>
            <w:pPr>
              <w:pStyle w:val="TableContents"/>
              <w:bidi w:val="0"/>
              <w:spacing w:before="0" w:after="283"/>
              <w:jc w:val="left"/>
              <w:rPr>
                <w:sz w:val="20"/>
              </w:rPr>
            </w:pPr>
            <w:r>
              <w:rPr>
                <w:sz w:val="20"/>
              </w:rPr>
              <w:t>3.875% due April 30, 2031</w:t>
            </w:r>
          </w:p>
        </w:tc>
      </w:tr>
      <w:tr>
        <w:trPr/>
        <w:tc>
          <w:tcPr>
            <w:tcW w:w="306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Benchmark Treasury Price and Yield:</w:t>
            </w:r>
          </w:p>
        </w:tc>
        <w:tc>
          <w:tcPr>
            <w:tcW w:w="4940" w:type="dxa"/>
            <w:tcBorders/>
            <w:vAlign w:val="center"/>
          </w:tcPr>
          <w:p>
            <w:pPr>
              <w:pStyle w:val="TableContents"/>
              <w:bidi w:val="0"/>
              <w:spacing w:before="0" w:after="283"/>
              <w:jc w:val="left"/>
              <w:rPr>
                <w:sz w:val="20"/>
              </w:rPr>
            </w:pPr>
            <w:r>
              <w:rPr>
                <w:sz w:val="20"/>
              </w:rPr>
              <w:t>98 - 100 ¾ / 4.323%</w:t>
            </w:r>
          </w:p>
        </w:tc>
      </w:tr>
      <w:tr>
        <w:trPr/>
        <w:tc>
          <w:tcPr>
            <w:tcW w:w="3065"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Interest Payment Dates:</w:t>
            </w:r>
          </w:p>
        </w:tc>
        <w:tc>
          <w:tcPr>
            <w:tcW w:w="4940" w:type="dxa"/>
            <w:tcBorders/>
            <w:vAlign w:val="center"/>
          </w:tcPr>
          <w:p>
            <w:pPr>
              <w:pStyle w:val="TableContents"/>
              <w:bidi w:val="0"/>
              <w:spacing w:before="0" w:after="283"/>
              <w:jc w:val="left"/>
              <w:rPr>
                <w:sz w:val="20"/>
              </w:rPr>
            </w:pPr>
            <w:r>
              <w:rPr>
                <w:sz w:val="20"/>
              </w:rPr>
              <w:t>November 21 and May 21, commencing November 21, 2026</w:t>
            </w:r>
          </w:p>
        </w:tc>
      </w:tr>
    </w:tbl>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97"/>
        <w:gridCol w:w="8608"/>
      </w:tblGrid>
      <w:tr>
        <w:trPr/>
        <w:tc>
          <w:tcPr>
            <w:tcW w:w="1597" w:type="dxa"/>
            <w:tcBorders/>
            <w:vAlign w:val="center"/>
          </w:tcPr>
          <w:p>
            <w:pPr>
              <w:pStyle w:val="TableContents"/>
              <w:bidi w:val="0"/>
              <w:spacing w:before="0" w:after="283"/>
              <w:jc w:val="left"/>
              <w:rPr>
                <w:sz w:val="20"/>
              </w:rPr>
            </w:pPr>
            <w:r>
              <w:rPr>
                <w:sz w:val="20"/>
              </w:rPr>
              <w:t>Optional Redemption:</w:t>
            </w:r>
          </w:p>
        </w:tc>
        <w:tc>
          <w:tcPr>
            <w:tcW w:w="860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April 21, 2031 (the date falling one month prior to the maturity date of the Notes) (the “Par Call Date”), the Issuer may redeem some or all of the Notes at any time, or from time to time, at a redemption price equal to the greater of the following amounts, plus, in each case, accrued and unpaid interest thereon to the redemption date: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45 basis points less (b) interest accrued to the date of redemption; and</w:t>
            </w:r>
          </w:p>
          <w:p>
            <w:pPr>
              <w:pStyle w:val="TableContents"/>
              <w:bidi w:val="0"/>
              <w:spacing w:before="0" w:after="0"/>
              <w:ind w:left="360" w:right="0" w:hanging="0"/>
              <w:jc w:val="left"/>
              <w:rPr>
                <w:caps w:val="false"/>
                <w:smallCaps w:val="false"/>
              </w:rPr>
            </w:pPr>
            <w:r>
              <w:rPr>
                <w:caps w:val="false"/>
                <w:smallCaps w:val="false"/>
              </w:rPr>
              <w:t> </w:t>
            </w:r>
          </w:p>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100% of the principal amount of the Notes to be redeemed;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Issuer redeems any Notes on or after the Par Call Date, the redemption price for the Notes will be equal to 100% of the principal amount of the Notes to be redeemed, plus accrued and unpaid interest thereon to, but excluding, the date of redemption.</w:t>
            </w:r>
          </w:p>
        </w:tc>
      </w:tr>
      <w:tr>
        <w:trPr/>
        <w:tc>
          <w:tcPr>
            <w:tcW w:w="1597" w:type="dxa"/>
            <w:tcBorders/>
            <w:vAlign w:val="center"/>
          </w:tcPr>
          <w:p>
            <w:pPr>
              <w:pStyle w:val="TableContents"/>
              <w:bidi w:val="0"/>
              <w:spacing w:before="0" w:after="283"/>
              <w:jc w:val="left"/>
              <w:rPr/>
            </w:pPr>
            <w:r>
              <w:rPr/>
              <w:t> </w:t>
            </w:r>
          </w:p>
        </w:tc>
        <w:tc>
          <w:tcPr>
            <w:tcW w:w="8608" w:type="dxa"/>
            <w:tcBorders/>
            <w:vAlign w:val="center"/>
          </w:tcPr>
          <w:p>
            <w:pPr>
              <w:pStyle w:val="TableContents"/>
              <w:bidi w:val="0"/>
              <w:spacing w:before="0" w:after="283"/>
              <w:jc w:val="left"/>
              <w:rPr/>
            </w:pPr>
            <w:r>
              <w:rPr/>
              <w:t> </w:t>
            </w:r>
          </w:p>
        </w:tc>
      </w:tr>
      <w:tr>
        <w:trPr/>
        <w:tc>
          <w:tcPr>
            <w:tcW w:w="1597" w:type="dxa"/>
            <w:tcBorders/>
            <w:vAlign w:val="center"/>
          </w:tcPr>
          <w:p>
            <w:pPr>
              <w:pStyle w:val="TableContents"/>
              <w:bidi w:val="0"/>
              <w:spacing w:before="0" w:after="283"/>
              <w:jc w:val="left"/>
              <w:rPr>
                <w:sz w:val="20"/>
              </w:rPr>
            </w:pPr>
            <w:r>
              <w:rPr>
                <w:sz w:val="20"/>
              </w:rPr>
              <w:t>Denomination:</w:t>
            </w:r>
          </w:p>
        </w:tc>
        <w:tc>
          <w:tcPr>
            <w:tcW w:w="8608" w:type="dxa"/>
            <w:tcBorders/>
            <w:vAlign w:val="center"/>
          </w:tcPr>
          <w:p>
            <w:pPr>
              <w:pStyle w:val="TableContents"/>
              <w:bidi w:val="0"/>
              <w:spacing w:before="0" w:after="283"/>
              <w:jc w:val="left"/>
              <w:rPr>
                <w:sz w:val="20"/>
              </w:rPr>
            </w:pPr>
            <w:r>
              <w:rPr>
                <w:sz w:val="20"/>
              </w:rPr>
              <w:t>$2,000 and integral multiples of $1,000 in excess thereof</w:t>
            </w:r>
          </w:p>
        </w:tc>
      </w:tr>
      <w:tr>
        <w:trPr/>
        <w:tc>
          <w:tcPr>
            <w:tcW w:w="1597" w:type="dxa"/>
            <w:tcBorders/>
            <w:vAlign w:val="center"/>
          </w:tcPr>
          <w:p>
            <w:pPr>
              <w:pStyle w:val="TableContents"/>
              <w:bidi w:val="0"/>
              <w:spacing w:before="0" w:after="283"/>
              <w:jc w:val="left"/>
              <w:rPr/>
            </w:pPr>
            <w:r>
              <w:rPr/>
              <w:t> </w:t>
            </w:r>
          </w:p>
        </w:tc>
        <w:tc>
          <w:tcPr>
            <w:tcW w:w="8608" w:type="dxa"/>
            <w:tcBorders/>
            <w:vAlign w:val="center"/>
          </w:tcPr>
          <w:p>
            <w:pPr>
              <w:pStyle w:val="TableContents"/>
              <w:bidi w:val="0"/>
              <w:spacing w:before="0" w:after="283"/>
              <w:jc w:val="left"/>
              <w:rPr/>
            </w:pPr>
            <w:r>
              <w:rPr/>
              <w:t> </w:t>
            </w:r>
          </w:p>
        </w:tc>
      </w:tr>
      <w:tr>
        <w:trPr/>
        <w:tc>
          <w:tcPr>
            <w:tcW w:w="1597" w:type="dxa"/>
            <w:tcBorders/>
            <w:vAlign w:val="center"/>
          </w:tcPr>
          <w:p>
            <w:pPr>
              <w:pStyle w:val="TableContents"/>
              <w:bidi w:val="0"/>
              <w:spacing w:before="0" w:after="283"/>
              <w:jc w:val="left"/>
              <w:rPr>
                <w:sz w:val="20"/>
              </w:rPr>
            </w:pPr>
            <w:r>
              <w:rPr>
                <w:sz w:val="20"/>
              </w:rPr>
              <w:t>CUSIP/ISIN:</w:t>
            </w:r>
          </w:p>
        </w:tc>
        <w:tc>
          <w:tcPr>
            <w:tcW w:w="8608" w:type="dxa"/>
            <w:tcBorders/>
            <w:vAlign w:val="center"/>
          </w:tcPr>
          <w:p>
            <w:pPr>
              <w:pStyle w:val="TableContents"/>
              <w:bidi w:val="0"/>
              <w:spacing w:before="0" w:after="283"/>
              <w:jc w:val="left"/>
              <w:rPr>
                <w:sz w:val="20"/>
              </w:rPr>
            </w:pPr>
            <w:r>
              <w:rPr>
                <w:sz w:val="20"/>
              </w:rPr>
              <w:t>896442AL4 / US896442AL44</w:t>
            </w:r>
          </w:p>
        </w:tc>
      </w:tr>
      <w:tr>
        <w:trPr/>
        <w:tc>
          <w:tcPr>
            <w:tcW w:w="1597" w:type="dxa"/>
            <w:tcBorders/>
            <w:vAlign w:val="center"/>
          </w:tcPr>
          <w:p>
            <w:pPr>
              <w:pStyle w:val="TableContents"/>
              <w:bidi w:val="0"/>
              <w:spacing w:before="0" w:after="283"/>
              <w:jc w:val="left"/>
              <w:rPr/>
            </w:pPr>
            <w:r>
              <w:rPr/>
              <w:t> </w:t>
            </w:r>
          </w:p>
        </w:tc>
        <w:tc>
          <w:tcPr>
            <w:tcW w:w="8608" w:type="dxa"/>
            <w:tcBorders/>
            <w:vAlign w:val="center"/>
          </w:tcPr>
          <w:p>
            <w:pPr>
              <w:pStyle w:val="TableContents"/>
              <w:bidi w:val="0"/>
              <w:spacing w:before="0" w:after="283"/>
              <w:jc w:val="left"/>
              <w:rPr/>
            </w:pPr>
            <w:r>
              <w:rPr/>
              <w:t> </w:t>
            </w:r>
          </w:p>
        </w:tc>
      </w:tr>
      <w:tr>
        <w:trPr/>
        <w:tc>
          <w:tcPr>
            <w:tcW w:w="1597" w:type="dxa"/>
            <w:tcBorders/>
            <w:vAlign w:val="center"/>
          </w:tcPr>
          <w:p>
            <w:pPr>
              <w:pStyle w:val="TableContents"/>
              <w:bidi w:val="0"/>
              <w:spacing w:before="0" w:after="283"/>
              <w:jc w:val="left"/>
              <w:rPr>
                <w:sz w:val="20"/>
              </w:rPr>
            </w:pPr>
            <w:r>
              <w:rPr>
                <w:sz w:val="20"/>
              </w:rPr>
              <w:t>Joint Book-Running Managers:</w:t>
            </w:r>
          </w:p>
        </w:tc>
        <w:tc>
          <w:tcPr>
            <w:tcW w:w="8608" w:type="dxa"/>
            <w:tcBorders/>
            <w:vAlign w:val="center"/>
          </w:tcPr>
          <w:p>
            <w:pPr>
              <w:pStyle w:val="TableContents"/>
              <w:bidi w:val="0"/>
              <w:spacing w:before="0" w:after="283"/>
              <w:jc w:val="left"/>
              <w:rPr>
                <w:sz w:val="20"/>
              </w:rPr>
            </w:pPr>
            <w:r>
              <w:rPr>
                <w:sz w:val="20"/>
              </w:rPr>
              <w:t>Keefe, Bruyette &amp; Woods, Inc.</w:t>
            </w:r>
          </w:p>
        </w:tc>
      </w:tr>
      <w:tr>
        <w:trPr/>
        <w:tc>
          <w:tcPr>
            <w:tcW w:w="1597" w:type="dxa"/>
            <w:tcBorders/>
            <w:vAlign w:val="center"/>
          </w:tcPr>
          <w:p>
            <w:pPr>
              <w:pStyle w:val="TableContents"/>
              <w:bidi w:val="0"/>
              <w:spacing w:before="0" w:after="283"/>
              <w:jc w:val="left"/>
              <w:rPr/>
            </w:pPr>
            <w:r>
              <w:rPr/>
              <w:t> </w:t>
            </w:r>
          </w:p>
        </w:tc>
        <w:tc>
          <w:tcPr>
            <w:tcW w:w="8608" w:type="dxa"/>
            <w:tcBorders/>
            <w:vAlign w:val="center"/>
          </w:tcPr>
          <w:p>
            <w:pPr>
              <w:pStyle w:val="TableContents"/>
              <w:bidi w:val="0"/>
              <w:spacing w:before="0" w:after="283"/>
              <w:jc w:val="left"/>
              <w:rPr>
                <w:sz w:val="20"/>
              </w:rPr>
            </w:pPr>
            <w:r>
              <w:rPr>
                <w:sz w:val="20"/>
              </w:rPr>
              <w:t>MUFG Securities Americas Inc.</w:t>
            </w:r>
          </w:p>
        </w:tc>
      </w:tr>
      <w:tr>
        <w:trPr/>
        <w:tc>
          <w:tcPr>
            <w:tcW w:w="1597" w:type="dxa"/>
            <w:tcBorders/>
            <w:vAlign w:val="center"/>
          </w:tcPr>
          <w:p>
            <w:pPr>
              <w:pStyle w:val="TableContents"/>
              <w:bidi w:val="0"/>
              <w:spacing w:before="0" w:after="283"/>
              <w:jc w:val="left"/>
              <w:rPr/>
            </w:pPr>
            <w:r>
              <w:rPr/>
              <w:t> </w:t>
            </w:r>
          </w:p>
        </w:tc>
        <w:tc>
          <w:tcPr>
            <w:tcW w:w="8608" w:type="dxa"/>
            <w:tcBorders/>
            <w:vAlign w:val="center"/>
          </w:tcPr>
          <w:p>
            <w:pPr>
              <w:pStyle w:val="TableContents"/>
              <w:bidi w:val="0"/>
              <w:spacing w:before="0" w:after="283"/>
              <w:jc w:val="left"/>
              <w:rPr/>
            </w:pPr>
            <w:r>
              <w:rPr/>
              <w:t> </w:t>
            </w:r>
          </w:p>
        </w:tc>
      </w:tr>
      <w:tr>
        <w:trPr/>
        <w:tc>
          <w:tcPr>
            <w:tcW w:w="1597" w:type="dxa"/>
            <w:tcBorders/>
            <w:vAlign w:val="center"/>
          </w:tcPr>
          <w:p>
            <w:pPr>
              <w:pStyle w:val="TableContents"/>
              <w:bidi w:val="0"/>
              <w:spacing w:before="0" w:after="283"/>
              <w:jc w:val="left"/>
              <w:rPr>
                <w:sz w:val="20"/>
              </w:rPr>
            </w:pPr>
            <w:r>
              <w:rPr>
                <w:sz w:val="20"/>
              </w:rPr>
              <w:t>Co-Managers:</w:t>
            </w:r>
          </w:p>
        </w:tc>
        <w:tc>
          <w:tcPr>
            <w:tcW w:w="860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Hancock Whitney Investment Services,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Zions Direct,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 JMP Securities,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Ladenburg Thalmann &amp; Co.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Capital Markets,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Oppenheimer &amp; Co.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securities rating is not a recommendation to buy, sell or hold securities and may be subject to revision or withdrawal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expects that delivery of the Notes will be made to investors on or about May 21, 2026, which will be the second business day following the date hereof. Under Rule 15c6-1 under the Securities Exchange Act of 1934, as amended, trades in the secondary market are required to settle in one business day, unless the parties to any such trade expressly agree otherwise. Accordingly, purchasers who wish to trade Notes on the date hereof or the following business day will be required by virtue of the fact that the Notes initially settle in T+2, to specify an alternate settlement arrangement at the time of any such trade to prevent a failed settlement. Purchasers of the Notes who wish to trade the Notes on the date hereof or the following business day should consult their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 are advised to carefully consider the investment objectives, risks, charges and expenses of the Issuer before investing. The Preliminary Prospectus, which has been filed with the Securities and Exchange Commission (the “SEC”), and the documents incorporated by reference therein, contain these factors and other information about the Issuer and should be read carefully before investing.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information in the Preliminary Prospectus and in this pricing term sheet is not complete and may be changed. The Preliminary Prospectus and this pricing term sheet are not offers to sell any securities of the Issuer and are not soliciting an offer to buy such securities in any jurisdiction where such offer and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filed a shelf registration statement (including a base prospectus) with the SEC for the offering to which this communication relates. Before you invest, you should read the base prospectus in that registration statement, the Preliminary Prospectus and the documents incorporated by reference therein, which the issuer has filed with the SEC, for more complete information about the Issuer and this offering. You may obtain these documents for free by visiting EDGAR on the SEC Web site at www.sec.gov. Alternatively, the Issuer, any underwriter or any dealer participating in the offering will arrange to send you the Preliminary Prospectus if you request it from Keefe, Bruyette &amp; Woods, Inc., 787 7th Avenue, 4th Floor, New York, New York 10019, Attn: Debt Syndicate, by telephone at 1 (800) 966-1559, or from MUFG Securities Americas Inc., 1221 Avenue of the Americas, 6</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 New York, New York 10020, by telephone at 1 (877) 649-6848.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943</Words>
  <Characters>4917</Characters>
  <CharactersWithSpaces>5861</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