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firstLine="1440"/>
        <w:jc w:val="right"/>
        <w:rPr>
          <w:rFonts w:ascii="Times New Roman;Times;Serif" w:hAnsi="Times New Roman;Times;Serif"/>
          <w:b/>
          <w:i w:val="false"/>
          <w:caps w:val="false"/>
          <w:smallCaps w:val="false"/>
          <w:sz w:val="20"/>
        </w:rPr>
      </w:pPr>
      <w:bookmarkStart w:id="0" w:name="ea0306799-01_497ad.htm"/>
      <w:bookmarkStart w:id="1" w:name="ksea030679901_497ad"/>
      <w:bookmarkEnd w:id="0"/>
      <w:bookmarkEnd w:id="1"/>
      <w:r>
        <w:rPr>
          <w:rFonts w:ascii="Times New Roman;Times;Serif" w:hAnsi="Times New Roman;Times;Serif"/>
          <w:b/>
          <w:i w:val="false"/>
          <w:caps w:val="false"/>
          <w:smallCaps w:val="false"/>
          <w:sz w:val="20"/>
        </w:rPr>
        <w:t>Filed pursuant to Rule 497(a)</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File No. 333-289495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482ad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[TEXT OF COMMUNICATION SENT VIA BLOOMBERG]</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Trinity Capital Fixed Income Investor Calls | September 29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USD SEC Reg Senior Notes Offering May Follow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Trinity Capital Inc. (the “Company”, ticker “TRIN”) has requested Keefe, Bruyette &amp; Woods, </w:t>
      </w:r>
      <w:r>
        <w:rPr>
          <w:rFonts w:ascii="Times New Roman;Times;Serif" w:hAnsi="Times New Roman;Times;Serif"/>
          <w:b w:val="false"/>
          <w:i/>
          <w:caps w:val="false"/>
          <w:smallCaps w:val="false"/>
          <w:sz w:val="20"/>
        </w:rPr>
        <w:t>A Stifel Company</w:t>
      </w:r>
      <w:r>
        <w:rPr>
          <w:rFonts w:ascii="Times New Roman;Times;Serif" w:hAnsi="Times New Roman;Times;Serif"/>
          <w:b w:val="false"/>
          <w:i w:val="false"/>
          <w:caps w:val="false"/>
          <w:smallCaps w:val="false"/>
          <w:sz w:val="20"/>
        </w:rPr>
        <w:t xml:space="preserve"> and MUFG to arrange a series of fixed income update calls for Tuesday, September 29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 A virtual presentation has been made available in advance of the calls. A USD-denominated, SEC-Registered senior unsecured notes offering may follow, subject to market conditions. Trinity Capital Inc. has senior unsecured ratings* of Baa3 (stable) from Moody’s Rating Agency, BBBL (positive) from Morningstar DBRS, and BBB (stable) from Egan-Jones.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Keefe, Bruyette &amp; Woods, </w:t>
      </w:r>
      <w:r>
        <w:rPr>
          <w:rFonts w:ascii="Times New Roman;Times;Serif" w:hAnsi="Times New Roman;Times;Serif"/>
          <w:b w:val="false"/>
          <w:i/>
          <w:caps w:val="false"/>
          <w:smallCaps w:val="false"/>
          <w:sz w:val="20"/>
        </w:rPr>
        <w:t>A Stifel Company</w:t>
      </w:r>
      <w:r>
        <w:rPr>
          <w:rFonts w:ascii="Times New Roman;Times;Serif" w:hAnsi="Times New Roman;Times;Serif"/>
          <w:b w:val="false"/>
          <w:i w:val="false"/>
          <w:caps w:val="false"/>
          <w:smallCaps w:val="false"/>
          <w:sz w:val="20"/>
        </w:rPr>
        <w:t xml:space="preserve"> will be coordinating logistics for the investor calls.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Company Representatives: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9"/>
        <w:gridCol w:w="145"/>
        <w:gridCol w:w="10011"/>
      </w:tblGrid>
      <w:tr>
        <w:trPr/>
        <w:tc>
          <w:tcPr>
            <w:tcW w:w="49" w:type="dxa"/>
            <w:tcBorders/>
            <w:shd w:fill="FFFFFF" w:val="clear"/>
            <w:vAlign w:val="center"/>
          </w:tcPr>
          <w:p>
            <w:pPr>
              <w:pStyle w:val="TableContents"/>
              <w:bidi w:val="0"/>
              <w:spacing w:before="0" w:after="283"/>
              <w:jc w:val="left"/>
              <w:rPr>
                <w:sz w:val="4"/>
                <w:szCs w:val="4"/>
              </w:rPr>
            </w:pPr>
            <w:r>
              <w:rPr>
                <w:sz w:val="4"/>
                <w:szCs w:val="4"/>
              </w:rPr>
            </w:r>
          </w:p>
        </w:tc>
        <w:tc>
          <w:tcPr>
            <w:tcW w:w="14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1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Kyle Brown – Chief Executive Officer, President, and Chief Investment Officer</w:t>
            </w:r>
          </w:p>
        </w:tc>
      </w:tr>
    </w:tbl>
    <w:tbl>
      <w:tblPr>
        <w:tblW w:w="5000" w:type="pct"/>
        <w:jc w:val="left"/>
        <w:tblInd w:w="0" w:type="dxa"/>
        <w:shd w:fill="FFFFFF" w:val="clear"/>
        <w:tblLayout w:type="fixed"/>
        <w:tblCellMar>
          <w:top w:w="0" w:type="dxa"/>
          <w:left w:w="0" w:type="dxa"/>
          <w:bottom w:w="0" w:type="dxa"/>
          <w:right w:w="0" w:type="dxa"/>
        </w:tblCellMar>
      </w:tblPr>
      <w:tblGrid>
        <w:gridCol w:w="52"/>
        <w:gridCol w:w="154"/>
        <w:gridCol w:w="9999"/>
      </w:tblGrid>
      <w:tr>
        <w:trPr/>
        <w:tc>
          <w:tcPr>
            <w:tcW w:w="52"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9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Sarah Stanton – General Counsel, Chief Compliance Officer, and Secretary</w:t>
            </w:r>
          </w:p>
        </w:tc>
      </w:tr>
    </w:tbl>
    <w:tbl>
      <w:tblPr>
        <w:tblW w:w="5000" w:type="pct"/>
        <w:jc w:val="left"/>
        <w:tblInd w:w="0" w:type="dxa"/>
        <w:shd w:fill="FFFFFF" w:val="clear"/>
        <w:tblLayout w:type="fixed"/>
        <w:tblCellMar>
          <w:top w:w="0" w:type="dxa"/>
          <w:left w:w="0" w:type="dxa"/>
          <w:bottom w:w="0" w:type="dxa"/>
          <w:right w:w="0" w:type="dxa"/>
        </w:tblCellMar>
      </w:tblPr>
      <w:tblGrid>
        <w:gridCol w:w="79"/>
        <w:gridCol w:w="230"/>
        <w:gridCol w:w="9896"/>
      </w:tblGrid>
      <w:tr>
        <w:trPr/>
        <w:tc>
          <w:tcPr>
            <w:tcW w:w="79" w:type="dxa"/>
            <w:tcBorders/>
            <w:shd w:fill="FFFFFF" w:val="clear"/>
            <w:vAlign w:val="center"/>
          </w:tcPr>
          <w:p>
            <w:pPr>
              <w:pStyle w:val="TableContents"/>
              <w:bidi w:val="0"/>
              <w:spacing w:before="0" w:after="283"/>
              <w:jc w:val="left"/>
              <w:rPr>
                <w:sz w:val="4"/>
                <w:szCs w:val="4"/>
              </w:rPr>
            </w:pPr>
            <w:r>
              <w:rPr>
                <w:sz w:val="4"/>
                <w:szCs w:val="4"/>
              </w:rPr>
            </w:r>
          </w:p>
        </w:tc>
        <w:tc>
          <w:tcPr>
            <w:tcW w:w="23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8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Gerald “Gerry” Harder – Chief Operating Officer</w:t>
            </w:r>
          </w:p>
        </w:tc>
      </w:tr>
    </w:tbl>
    <w:tbl>
      <w:tblPr>
        <w:tblW w:w="5000" w:type="pct"/>
        <w:jc w:val="left"/>
        <w:tblInd w:w="0" w:type="dxa"/>
        <w:shd w:fill="FFFFFF" w:val="clear"/>
        <w:tblLayout w:type="fixed"/>
        <w:tblCellMar>
          <w:top w:w="0" w:type="dxa"/>
          <w:left w:w="0" w:type="dxa"/>
          <w:bottom w:w="0" w:type="dxa"/>
          <w:right w:w="0" w:type="dxa"/>
        </w:tblCellMar>
      </w:tblPr>
      <w:tblGrid>
        <w:gridCol w:w="98"/>
        <w:gridCol w:w="284"/>
        <w:gridCol w:w="9823"/>
      </w:tblGrid>
      <w:tr>
        <w:trPr/>
        <w:tc>
          <w:tcPr>
            <w:tcW w:w="98" w:type="dxa"/>
            <w:tcBorders/>
            <w:shd w:fill="FFFFFF" w:val="clear"/>
            <w:vAlign w:val="center"/>
          </w:tcPr>
          <w:p>
            <w:pPr>
              <w:pStyle w:val="TableContents"/>
              <w:bidi w:val="0"/>
              <w:spacing w:before="0" w:after="283"/>
              <w:jc w:val="left"/>
              <w:rPr>
                <w:sz w:val="4"/>
                <w:szCs w:val="4"/>
              </w:rPr>
            </w:pPr>
            <w:r>
              <w:rPr>
                <w:sz w:val="4"/>
                <w:szCs w:val="4"/>
              </w:rPr>
            </w:r>
          </w:p>
        </w:tc>
        <w:tc>
          <w:tcPr>
            <w:tcW w:w="284"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82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Testa – Chief Financial Officer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Investor Call Schedule: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Tuesday, September 29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2026:</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AM – 11:00AM ET</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PM – 2:00PM ET</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PM – 3:00PM ET</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Registration link (for all calls): </w:t>
      </w:r>
      <w:r>
        <w:rPr>
          <w:rFonts w:ascii="Times New Roman;Times;Serif" w:hAnsi="Times New Roman;Times;Serif"/>
          <w:b w:val="false"/>
          <w:i w:val="false"/>
          <w:caps w:val="false"/>
          <w:smallCaps w:val="false"/>
          <w:color w:val="0000FF"/>
          <w:sz w:val="20"/>
          <w:u w:val="single"/>
        </w:rPr>
        <w:t>https://netroadshow.com/events/series/q7z7wafb</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Virtual Roadshow Investor Login Details: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URL: </w:t>
      </w:r>
      <w:r>
        <w:rPr>
          <w:rFonts w:ascii="Times New Roman;Times;Serif" w:hAnsi="Times New Roman;Times;Serif"/>
          <w:b w:val="false"/>
          <w:i w:val="false"/>
          <w:caps w:val="false"/>
          <w:smallCaps w:val="false"/>
          <w:color w:val="0000FF"/>
          <w:sz w:val="20"/>
          <w:u w:val="single"/>
        </w:rPr>
        <w:t>www.netroadshow.com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Code: TRIN2026</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 Link: </w:t>
      </w:r>
      <w:r>
        <w:rPr>
          <w:rFonts w:ascii="Times New Roman;Times;Serif" w:hAnsi="Times New Roman;Times;Serif"/>
          <w:b w:val="false"/>
          <w:i w:val="false"/>
          <w:caps w:val="false"/>
          <w:smallCaps w:val="false"/>
          <w:color w:val="0000FF"/>
          <w:sz w:val="20"/>
          <w:u w:val="single"/>
        </w:rPr>
        <w:t>www.netroadshow.com/nrs/home/#!/?show=468b7840</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---Disclaimers---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An explanation of the significance of ratings may be obtained from the rating agency. Generally, rating agencies base their ratings on such material and information, and such of their own investigations, studies and assumptions, as they deem appropriate. A credit rating of a security is not a recommendation to buy, sell or hold securities and may be subject to review, revision, suspension, reduction or withdrawal at any time by the assigning rating agency. No report of any rating agency is incorporated by reference herein.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announcement is confidential and for your information only and is not to be used or reviewed by or distributed to anyone other than you. This announcement does not constitute an offer to sell or the solicitation of an offer to buy any securities of Trinity Capital Inc., nor shall there be any sale of securities in any jurisdiction in which any offer, solicitation or sale would be unlawful prior to registration or qualification of such securities under the securities laws of any such jurisdiction. If Trinity Capital Inc. were to conduct an offering of securities in the future, it would be expected to be made under Trinity Capital Inc.’s registration statement on form N-2 that has been filed with and declared effective by the Securities and Exchange Commission and only by means of a preliminary prospectus supplement and accompanying prospectus, as well as any final term sheet relating to such transaction, copies of which, if made available, would be able to be obtained from the Securities and Exchange Commission’s website at </w:t>
      </w:r>
      <w:r>
        <w:rPr>
          <w:rFonts w:ascii="Times New Roman;Times;Serif" w:hAnsi="Times New Roman;Times;Serif"/>
          <w:b w:val="false"/>
          <w:i w:val="false"/>
          <w:caps w:val="false"/>
          <w:smallCaps w:val="false"/>
          <w:color w:val="0000FF"/>
          <w:sz w:val="20"/>
          <w:u w:val="single"/>
        </w:rPr>
        <w:t>www.sec.gov</w:t>
      </w:r>
      <w:r>
        <w:rPr>
          <w:rFonts w:ascii="Times New Roman;Times;Serif" w:hAnsi="Times New Roman;Times;Serif"/>
          <w:b w:val="false"/>
          <w:i w:val="false"/>
          <w:caps w:val="false"/>
          <w:smallCaps w:val="false"/>
          <w:sz w:val="20"/>
        </w:rPr>
        <w:t xml:space="preserve"> or from the underwriter for any such offering. Investors are advised to obtain a copy of the preliminary prospectus supplement and prospectus and to carefully review the information contained or incorporated by reference therein before making an investment decision.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that documents transmitted by e-mail may be altered or changed during the process of transmission and none of Trinity Capital Inc., Keefe, Bruyette &amp; Woods, </w:t>
      </w:r>
      <w:r>
        <w:rPr>
          <w:rFonts w:ascii="Times New Roman;Times;Serif" w:hAnsi="Times New Roman;Times;Serif"/>
          <w:b w:val="false"/>
          <w:i/>
          <w:caps w:val="false"/>
          <w:smallCaps w:val="false"/>
          <w:sz w:val="20"/>
        </w:rPr>
        <w:t>A Stifel Company,</w:t>
      </w:r>
      <w:r>
        <w:rPr>
          <w:rFonts w:ascii="Times New Roman;Times;Serif" w:hAnsi="Times New Roman;Times;Serif"/>
          <w:b w:val="false"/>
          <w:i w:val="false"/>
          <w:caps w:val="false"/>
          <w:smallCaps w:val="false"/>
          <w:sz w:val="20"/>
        </w:rPr>
        <w:t xml:space="preserve"> MUFG Securities Americas Inc. nor any of their respective affiliates accepts liability or responsibility for any alteration or change.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3337</Characters>
  <CharactersWithSpaces>3923</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