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7219-02_fwp.htm"/>
      <w:bookmarkStart w:id="1" w:name="ksea030721902_fwp"/>
      <w:bookmarkEnd w:id="0"/>
      <w:bookmarkEnd w:id="1"/>
      <w:r>
        <w:rPr>
          <w:rFonts w:ascii="Times New Roman;Times;Serif" w:hAnsi="Times New Roman;Times;Serif"/>
          <w:b/>
          <w:i w:val="false"/>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Free Writing Prospectus dated September 30,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Relating to Preliminary Prospectus Supplement dated September 30, 2026 and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dated August 11, 2025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333-289495</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Trinity Capital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$350,000,000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7.500% Notes due 2032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TERM SHEET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the final terms of the 7.500% Notes due 2032 (the “Notes”) and should only be read together with the preliminary prospectus supplement of Trinity Capital Inc. (the “Issuer”) dated September 30, 2026, together with the accompanying prospectus dated August 11, 2025 (the “Preliminary Prospectus”), relating to the Notes,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pStyle w:val="TextBody"/>
        <w:bidi w:val="0"/>
        <w:spacing w:before="0" w:after="0"/>
        <w:ind w:left="0" w:right="0" w:firstLine="720"/>
        <w:jc w:val="both"/>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3065"/>
        <w:gridCol w:w="4850"/>
      </w:tblGrid>
      <w:tr>
        <w:trPr/>
        <w:tc>
          <w:tcPr>
            <w:tcW w:w="3065" w:type="dxa"/>
            <w:tcBorders/>
            <w:vAlign w:val="center"/>
          </w:tcPr>
          <w:p>
            <w:pPr>
              <w:pStyle w:val="TableContents"/>
              <w:bidi w:val="0"/>
              <w:spacing w:before="0" w:after="283"/>
              <w:jc w:val="left"/>
              <w:rPr/>
            </w:pPr>
            <w:r>
              <w:rPr/>
              <w:t>Issuer:</w:t>
            </w:r>
          </w:p>
        </w:tc>
        <w:tc>
          <w:tcPr>
            <w:tcW w:w="4850" w:type="dxa"/>
            <w:tcBorders/>
            <w:vAlign w:val="center"/>
          </w:tcPr>
          <w:p>
            <w:pPr>
              <w:pStyle w:val="TableContents"/>
              <w:bidi w:val="0"/>
              <w:spacing w:before="0" w:after="283"/>
              <w:jc w:val="left"/>
              <w:rPr>
                <w:sz w:val="20"/>
              </w:rPr>
            </w:pPr>
            <w:r>
              <w:rPr>
                <w:sz w:val="20"/>
              </w:rPr>
              <w:t>Trinity Capital Inc.</w:t>
            </w:r>
          </w:p>
        </w:tc>
      </w:tr>
      <w:tr>
        <w:trPr/>
        <w:tc>
          <w:tcPr>
            <w:tcW w:w="306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Issuer Ticker:</w:t>
            </w:r>
          </w:p>
        </w:tc>
        <w:tc>
          <w:tcPr>
            <w:tcW w:w="4850" w:type="dxa"/>
            <w:tcBorders/>
            <w:vAlign w:val="center"/>
          </w:tcPr>
          <w:p>
            <w:pPr>
              <w:pStyle w:val="TableContents"/>
              <w:bidi w:val="0"/>
              <w:spacing w:before="0" w:after="283"/>
              <w:jc w:val="left"/>
              <w:rPr>
                <w:sz w:val="20"/>
              </w:rPr>
            </w:pPr>
            <w:r>
              <w:rPr>
                <w:sz w:val="20"/>
              </w:rPr>
              <w:t>TRIN</w:t>
            </w:r>
          </w:p>
        </w:tc>
      </w:tr>
      <w:tr>
        <w:trPr/>
        <w:tc>
          <w:tcPr>
            <w:tcW w:w="306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Security:</w:t>
            </w:r>
          </w:p>
        </w:tc>
        <w:tc>
          <w:tcPr>
            <w:tcW w:w="4850" w:type="dxa"/>
            <w:tcBorders/>
            <w:vAlign w:val="center"/>
          </w:tcPr>
          <w:p>
            <w:pPr>
              <w:pStyle w:val="TableContents"/>
              <w:bidi w:val="0"/>
              <w:spacing w:before="0" w:after="283"/>
              <w:jc w:val="left"/>
              <w:rPr>
                <w:sz w:val="20"/>
              </w:rPr>
            </w:pPr>
            <w:r>
              <w:rPr>
                <w:sz w:val="20"/>
              </w:rPr>
              <w:t>7.500% Notes due 2032</w:t>
            </w:r>
          </w:p>
        </w:tc>
      </w:tr>
      <w:tr>
        <w:trPr/>
        <w:tc>
          <w:tcPr>
            <w:tcW w:w="306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both"/>
              <w:rPr>
                <w:sz w:val="20"/>
              </w:rPr>
            </w:pPr>
            <w:r>
              <w:rPr>
                <w:sz w:val="20"/>
              </w:rPr>
              <w:t>Expected Ratings*:</w:t>
            </w:r>
          </w:p>
        </w:tc>
        <w:tc>
          <w:tcPr>
            <w:tcW w:w="4850" w:type="dxa"/>
            <w:tcBorders/>
            <w:vAlign w:val="center"/>
          </w:tcPr>
          <w:p>
            <w:pPr>
              <w:pStyle w:val="TableContents"/>
              <w:bidi w:val="0"/>
              <w:spacing w:before="0" w:after="283"/>
              <w:jc w:val="left"/>
              <w:rPr>
                <w:sz w:val="20"/>
              </w:rPr>
            </w:pPr>
            <w:r>
              <w:rPr>
                <w:sz w:val="20"/>
              </w:rPr>
              <w:t>Baa3 (Moody’s) / BBBL (Morningstar) / BBB (Egan-Jones)</w:t>
            </w:r>
          </w:p>
        </w:tc>
      </w:tr>
      <w:tr>
        <w:trPr/>
        <w:tc>
          <w:tcPr>
            <w:tcW w:w="3065" w:type="dxa"/>
            <w:tcBorders/>
            <w:vAlign w:val="center"/>
          </w:tcPr>
          <w:p>
            <w:pPr>
              <w:pStyle w:val="TableContents"/>
              <w:bidi w:val="0"/>
              <w:spacing w:before="0" w:after="283"/>
              <w:jc w:val="both"/>
              <w:rPr/>
            </w:pPr>
            <w:r>
              <w:rPr/>
              <w:t> </w:t>
            </w:r>
          </w:p>
        </w:tc>
        <w:tc>
          <w:tcPr>
            <w:tcW w:w="485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Trade Date:</w:t>
            </w:r>
          </w:p>
        </w:tc>
        <w:tc>
          <w:tcPr>
            <w:tcW w:w="4850" w:type="dxa"/>
            <w:tcBorders/>
            <w:vAlign w:val="center"/>
          </w:tcPr>
          <w:p>
            <w:pPr>
              <w:pStyle w:val="TableContents"/>
              <w:bidi w:val="0"/>
              <w:spacing w:before="0" w:after="283"/>
              <w:jc w:val="left"/>
              <w:rPr>
                <w:sz w:val="20"/>
              </w:rPr>
            </w:pPr>
            <w:r>
              <w:rPr>
                <w:sz w:val="20"/>
              </w:rPr>
              <w:t>September 30, 2026</w:t>
            </w:r>
          </w:p>
        </w:tc>
      </w:tr>
      <w:tr>
        <w:trPr/>
        <w:tc>
          <w:tcPr>
            <w:tcW w:w="306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Settlement Date**:</w:t>
            </w:r>
          </w:p>
        </w:tc>
        <w:tc>
          <w:tcPr>
            <w:tcW w:w="4850" w:type="dxa"/>
            <w:tcBorders/>
            <w:vAlign w:val="center"/>
          </w:tcPr>
          <w:p>
            <w:pPr>
              <w:pStyle w:val="TableContents"/>
              <w:bidi w:val="0"/>
              <w:spacing w:before="0" w:after="283"/>
              <w:jc w:val="left"/>
              <w:rPr>
                <w:sz w:val="20"/>
              </w:rPr>
            </w:pPr>
            <w:r>
              <w:rPr>
                <w:sz w:val="20"/>
              </w:rPr>
              <w:t>October 5, 2026 (T+3)</w:t>
            </w:r>
          </w:p>
        </w:tc>
      </w:tr>
      <w:tr>
        <w:trPr/>
        <w:tc>
          <w:tcPr>
            <w:tcW w:w="306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Aggregate Principal Amount Offered:</w:t>
            </w:r>
          </w:p>
        </w:tc>
        <w:tc>
          <w:tcPr>
            <w:tcW w:w="4850" w:type="dxa"/>
            <w:tcBorders/>
            <w:vAlign w:val="center"/>
          </w:tcPr>
          <w:p>
            <w:pPr>
              <w:pStyle w:val="TableContents"/>
              <w:bidi w:val="0"/>
              <w:spacing w:before="0" w:after="283"/>
              <w:jc w:val="left"/>
              <w:rPr>
                <w:sz w:val="20"/>
              </w:rPr>
            </w:pPr>
            <w:r>
              <w:rPr>
                <w:sz w:val="20"/>
              </w:rPr>
              <w:t>$350,000,000</w:t>
            </w:r>
          </w:p>
        </w:tc>
      </w:tr>
      <w:tr>
        <w:trPr/>
        <w:tc>
          <w:tcPr>
            <w:tcW w:w="306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Maturity Date:</w:t>
            </w:r>
          </w:p>
        </w:tc>
        <w:tc>
          <w:tcPr>
            <w:tcW w:w="4850" w:type="dxa"/>
            <w:tcBorders/>
            <w:vAlign w:val="center"/>
          </w:tcPr>
          <w:p>
            <w:pPr>
              <w:pStyle w:val="TableContents"/>
              <w:bidi w:val="0"/>
              <w:spacing w:before="0" w:after="283"/>
              <w:jc w:val="left"/>
              <w:rPr>
                <w:sz w:val="20"/>
              </w:rPr>
            </w:pPr>
            <w:r>
              <w:rPr>
                <w:sz w:val="20"/>
              </w:rPr>
              <w:t>January 15, 2032, unless earlier repurchased or redeemed</w:t>
            </w:r>
          </w:p>
        </w:tc>
      </w:tr>
      <w:tr>
        <w:trPr/>
        <w:tc>
          <w:tcPr>
            <w:tcW w:w="306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Price to Public (Issue Price):</w:t>
            </w:r>
          </w:p>
        </w:tc>
        <w:tc>
          <w:tcPr>
            <w:tcW w:w="4850" w:type="dxa"/>
            <w:tcBorders/>
            <w:vAlign w:val="center"/>
          </w:tcPr>
          <w:p>
            <w:pPr>
              <w:pStyle w:val="TableContents"/>
              <w:bidi w:val="0"/>
              <w:spacing w:before="0" w:after="283"/>
              <w:jc w:val="left"/>
              <w:rPr>
                <w:sz w:val="20"/>
              </w:rPr>
            </w:pPr>
            <w:r>
              <w:rPr>
                <w:sz w:val="20"/>
              </w:rPr>
              <w:t>99.104%</w:t>
            </w:r>
          </w:p>
        </w:tc>
      </w:tr>
      <w:tr>
        <w:trPr/>
        <w:tc>
          <w:tcPr>
            <w:tcW w:w="306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Coupon (Interest Rate):</w:t>
            </w:r>
          </w:p>
        </w:tc>
        <w:tc>
          <w:tcPr>
            <w:tcW w:w="4850" w:type="dxa"/>
            <w:tcBorders/>
            <w:vAlign w:val="center"/>
          </w:tcPr>
          <w:p>
            <w:pPr>
              <w:pStyle w:val="TableContents"/>
              <w:bidi w:val="0"/>
              <w:spacing w:before="0" w:after="283"/>
              <w:jc w:val="left"/>
              <w:rPr>
                <w:sz w:val="20"/>
              </w:rPr>
            </w:pPr>
            <w:r>
              <w:rPr>
                <w:sz w:val="20"/>
              </w:rPr>
              <w:t>7.500%</w:t>
            </w:r>
          </w:p>
        </w:tc>
      </w:tr>
      <w:tr>
        <w:trPr/>
        <w:tc>
          <w:tcPr>
            <w:tcW w:w="306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Yield to Maturity:</w:t>
            </w:r>
          </w:p>
        </w:tc>
        <w:tc>
          <w:tcPr>
            <w:tcW w:w="4850" w:type="dxa"/>
            <w:tcBorders/>
            <w:vAlign w:val="center"/>
          </w:tcPr>
          <w:p>
            <w:pPr>
              <w:pStyle w:val="TableContents"/>
              <w:bidi w:val="0"/>
              <w:spacing w:before="0" w:after="283"/>
              <w:jc w:val="left"/>
              <w:rPr/>
            </w:pPr>
            <w:r>
              <w:rPr/>
              <w:t>7.714%  </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555" w:type="dxa"/>
        <w:jc w:val="left"/>
        <w:tblInd w:w="0" w:type="dxa"/>
        <w:tblLayout w:type="fixed"/>
        <w:tblCellMar>
          <w:top w:w="0" w:type="dxa"/>
          <w:left w:w="0" w:type="dxa"/>
          <w:bottom w:w="0" w:type="dxa"/>
          <w:right w:w="0" w:type="dxa"/>
        </w:tblCellMar>
      </w:tblPr>
      <w:tblGrid>
        <w:gridCol w:w="3065"/>
        <w:gridCol w:w="4490"/>
      </w:tblGrid>
      <w:tr>
        <w:trPr/>
        <w:tc>
          <w:tcPr>
            <w:tcW w:w="3065" w:type="dxa"/>
            <w:tcBorders/>
            <w:vAlign w:val="center"/>
          </w:tcPr>
          <w:p>
            <w:pPr>
              <w:pStyle w:val="TableContents"/>
              <w:bidi w:val="0"/>
              <w:spacing w:before="0" w:after="283"/>
              <w:jc w:val="left"/>
              <w:rPr>
                <w:sz w:val="20"/>
              </w:rPr>
            </w:pPr>
            <w:r>
              <w:rPr>
                <w:sz w:val="20"/>
              </w:rPr>
              <w:t>Spread to Benchmark Treasury:</w:t>
            </w:r>
          </w:p>
        </w:tc>
        <w:tc>
          <w:tcPr>
            <w:tcW w:w="4490" w:type="dxa"/>
            <w:tcBorders/>
            <w:vAlign w:val="center"/>
          </w:tcPr>
          <w:p>
            <w:pPr>
              <w:pStyle w:val="TableContents"/>
              <w:bidi w:val="0"/>
              <w:spacing w:before="0" w:after="283"/>
              <w:jc w:val="left"/>
              <w:rPr/>
            </w:pPr>
            <w:r>
              <w:rPr/>
              <w:t xml:space="preserve">+ 262.5 basis points </w:t>
            </w:r>
          </w:p>
        </w:tc>
      </w:tr>
      <w:tr>
        <w:trPr/>
        <w:tc>
          <w:tcPr>
            <w:tcW w:w="3065"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Benchmark Treasury:</w:t>
            </w:r>
          </w:p>
        </w:tc>
        <w:tc>
          <w:tcPr>
            <w:tcW w:w="4490" w:type="dxa"/>
            <w:tcBorders/>
            <w:vAlign w:val="center"/>
          </w:tcPr>
          <w:p>
            <w:pPr>
              <w:pStyle w:val="TableContents"/>
              <w:bidi w:val="0"/>
              <w:spacing w:before="0" w:after="283"/>
              <w:jc w:val="left"/>
              <w:rPr>
                <w:sz w:val="20"/>
              </w:rPr>
            </w:pPr>
            <w:r>
              <w:rPr>
                <w:sz w:val="20"/>
              </w:rPr>
              <w:t>5.000% due September 30, 2031</w:t>
            </w:r>
          </w:p>
        </w:tc>
      </w:tr>
      <w:tr>
        <w:trPr/>
        <w:tc>
          <w:tcPr>
            <w:tcW w:w="3065"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Benchmark Treasury Price and Yield:</w:t>
            </w:r>
          </w:p>
        </w:tc>
        <w:tc>
          <w:tcPr>
            <w:tcW w:w="4490" w:type="dxa"/>
            <w:tcBorders/>
            <w:vAlign w:val="center"/>
          </w:tcPr>
          <w:p>
            <w:pPr>
              <w:pStyle w:val="TableContents"/>
              <w:bidi w:val="0"/>
              <w:spacing w:before="0" w:after="283"/>
              <w:jc w:val="left"/>
              <w:rPr/>
            </w:pPr>
            <w:r>
              <w:rPr/>
              <w:t>99 – 19+ / 5.089%</w:t>
            </w:r>
          </w:p>
        </w:tc>
      </w:tr>
      <w:tr>
        <w:trPr/>
        <w:tc>
          <w:tcPr>
            <w:tcW w:w="3065"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Interest Payment Dates:</w:t>
            </w:r>
          </w:p>
        </w:tc>
        <w:tc>
          <w:tcPr>
            <w:tcW w:w="4490" w:type="dxa"/>
            <w:tcBorders/>
            <w:vAlign w:val="center"/>
          </w:tcPr>
          <w:p>
            <w:pPr>
              <w:pStyle w:val="TableContents"/>
              <w:bidi w:val="0"/>
              <w:spacing w:before="0" w:after="283"/>
              <w:jc w:val="left"/>
              <w:rPr>
                <w:sz w:val="20"/>
              </w:rPr>
            </w:pPr>
            <w:r>
              <w:rPr>
                <w:sz w:val="20"/>
              </w:rPr>
              <w:t>January 15 and July 15, commencing January 15, 2027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96"/>
        <w:gridCol w:w="125"/>
        <w:gridCol w:w="8484"/>
      </w:tblGrid>
      <w:tr>
        <w:trPr/>
        <w:tc>
          <w:tcPr>
            <w:tcW w:w="1596" w:type="dxa"/>
            <w:tcBorders/>
            <w:vAlign w:val="center"/>
          </w:tcPr>
          <w:p>
            <w:pPr>
              <w:pStyle w:val="TableContents"/>
              <w:bidi w:val="0"/>
              <w:spacing w:before="0" w:after="283"/>
              <w:jc w:val="left"/>
              <w:rPr>
                <w:sz w:val="20"/>
              </w:rPr>
            </w:pPr>
            <w:r>
              <w:rPr>
                <w:sz w:val="20"/>
              </w:rPr>
              <w:t>Optional Redemption:</w:t>
            </w:r>
          </w:p>
        </w:tc>
        <w:tc>
          <w:tcPr>
            <w:tcW w:w="8609" w:type="dxa"/>
            <w:gridSpan w:val="2"/>
            <w:tcBorders/>
            <w:vAlign w:val="center"/>
          </w:tcPr>
          <w:p>
            <w:pPr>
              <w:pStyle w:val="TableContents"/>
              <w:bidi w:val="0"/>
              <w:spacing w:before="0" w:after="283"/>
              <w:jc w:val="left"/>
              <w:rPr/>
            </w:pPr>
            <w:r>
              <w:rPr/>
              <w:t>Prior to December 15, 2031 (the date falling one month prior to the maturity date of the Notes) (the “Par Call Date”), the Issuer may redeem some or all of the Notes at any time, or from time to time, at a redemption price equal to the greater of the following amounts, plus, in each case, accrued and unpaid interest thereon to the redemption date:</w:t>
            </w:r>
          </w:p>
        </w:tc>
      </w:tr>
      <w:tr>
        <w:trPr/>
        <w:tc>
          <w:tcPr>
            <w:tcW w:w="1596" w:type="dxa"/>
            <w:tcBorders/>
            <w:vAlign w:val="center"/>
          </w:tcPr>
          <w:p>
            <w:pPr>
              <w:pStyle w:val="TableContents"/>
              <w:bidi w:val="0"/>
              <w:spacing w:before="0" w:after="283"/>
              <w:jc w:val="left"/>
              <w:rPr/>
            </w:pPr>
            <w:r>
              <w:rPr/>
              <w:t> </w:t>
            </w:r>
          </w:p>
        </w:tc>
        <w:tc>
          <w:tcPr>
            <w:tcW w:w="8609" w:type="dxa"/>
            <w:gridSpan w:val="2"/>
            <w:tcBorders/>
            <w:vAlign w:val="center"/>
          </w:tcPr>
          <w:p>
            <w:pPr>
              <w:pStyle w:val="TableContents"/>
              <w:bidi w:val="0"/>
              <w:spacing w:before="0" w:after="283"/>
              <w:jc w:val="left"/>
              <w:rPr/>
            </w:pPr>
            <w:r>
              <w:rPr/>
              <w:t> </w:t>
            </w:r>
          </w:p>
        </w:tc>
      </w:tr>
      <w:tr>
        <w:trPr/>
        <w:tc>
          <w:tcPr>
            <w:tcW w:w="1596"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484" w:type="dxa"/>
            <w:tcBorders/>
            <w:vAlign w:val="center"/>
          </w:tcPr>
          <w:p>
            <w:pPr>
              <w:pStyle w:val="TableContents"/>
              <w:bidi w:val="0"/>
              <w:spacing w:before="0" w:after="283"/>
              <w:jc w:val="left"/>
              <w:rPr/>
            </w:pPr>
            <w:r>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50 basis points less (b) interest accrued to the date of redemption; and</w:t>
            </w:r>
          </w:p>
        </w:tc>
      </w:tr>
      <w:tr>
        <w:trPr/>
        <w:tc>
          <w:tcPr>
            <w:tcW w:w="1596" w:type="dxa"/>
            <w:tcBorders/>
            <w:vAlign w:val="center"/>
          </w:tcPr>
          <w:p>
            <w:pPr>
              <w:pStyle w:val="TableContents"/>
              <w:bidi w:val="0"/>
              <w:spacing w:before="0" w:after="283"/>
              <w:jc w:val="left"/>
              <w:rPr/>
            </w:pPr>
            <w:r>
              <w:rPr/>
              <w:t> </w:t>
            </w:r>
          </w:p>
        </w:tc>
        <w:tc>
          <w:tcPr>
            <w:tcW w:w="8609" w:type="dxa"/>
            <w:gridSpan w:val="2"/>
            <w:tcBorders/>
            <w:vAlign w:val="center"/>
          </w:tcPr>
          <w:p>
            <w:pPr>
              <w:pStyle w:val="TableContents"/>
              <w:bidi w:val="0"/>
              <w:spacing w:before="0" w:after="283"/>
              <w:jc w:val="left"/>
              <w:rPr/>
            </w:pPr>
            <w:r>
              <w:rPr/>
              <w:t> </w:t>
            </w:r>
          </w:p>
        </w:tc>
      </w:tr>
      <w:tr>
        <w:trPr/>
        <w:tc>
          <w:tcPr>
            <w:tcW w:w="1596"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484" w:type="dxa"/>
            <w:tcBorders/>
            <w:vAlign w:val="center"/>
          </w:tcPr>
          <w:p>
            <w:pPr>
              <w:pStyle w:val="TableContents"/>
              <w:bidi w:val="0"/>
              <w:spacing w:before="0" w:after="283"/>
              <w:jc w:val="left"/>
              <w:rPr/>
            </w:pPr>
            <w:r>
              <w:rPr/>
              <w:t>100% of the principal amount of the Notes to be redeemed;</w:t>
            </w:r>
          </w:p>
        </w:tc>
      </w:tr>
      <w:tr>
        <w:trPr/>
        <w:tc>
          <w:tcPr>
            <w:tcW w:w="1596" w:type="dxa"/>
            <w:tcBorders/>
            <w:vAlign w:val="center"/>
          </w:tcPr>
          <w:p>
            <w:pPr>
              <w:pStyle w:val="TableContents"/>
              <w:bidi w:val="0"/>
              <w:spacing w:before="0" w:after="283"/>
              <w:jc w:val="left"/>
              <w:rPr/>
            </w:pPr>
            <w:r>
              <w:rPr/>
              <w:t> </w:t>
            </w:r>
          </w:p>
        </w:tc>
        <w:tc>
          <w:tcPr>
            <w:tcW w:w="8609" w:type="dxa"/>
            <w:gridSpan w:val="2"/>
            <w:tcBorders/>
            <w:vAlign w:val="center"/>
          </w:tcPr>
          <w:p>
            <w:pPr>
              <w:pStyle w:val="TableContents"/>
              <w:bidi w:val="0"/>
              <w:spacing w:before="0" w:after="283"/>
              <w:jc w:val="left"/>
              <w:rPr/>
            </w:pPr>
            <w:r>
              <w:rPr/>
              <w:t> </w:t>
            </w:r>
          </w:p>
        </w:tc>
      </w:tr>
      <w:tr>
        <w:trPr/>
        <w:tc>
          <w:tcPr>
            <w:tcW w:w="1596" w:type="dxa"/>
            <w:tcBorders/>
            <w:vAlign w:val="center"/>
          </w:tcPr>
          <w:p>
            <w:pPr>
              <w:pStyle w:val="TableContents"/>
              <w:bidi w:val="0"/>
              <w:spacing w:before="0" w:after="283"/>
              <w:jc w:val="left"/>
              <w:rPr/>
            </w:pPr>
            <w:r>
              <w:rPr/>
              <w:t> </w:t>
            </w:r>
          </w:p>
        </w:tc>
        <w:tc>
          <w:tcPr>
            <w:tcW w:w="8609" w:type="dxa"/>
            <w:gridSpan w:val="2"/>
            <w:tcBorders/>
            <w:vAlign w:val="center"/>
          </w:tcPr>
          <w:p>
            <w:pPr>
              <w:pStyle w:val="TableContents"/>
              <w:bidi w:val="0"/>
              <w:spacing w:before="0" w:after="283"/>
              <w:jc w:val="left"/>
              <w:rPr/>
            </w:pPr>
            <w:r>
              <w:rPr>
                <w:i/>
              </w:rPr>
              <w:t>provided, however</w:t>
            </w:r>
            <w:r>
              <w:rPr/>
              <w:t>, that if the Issuer redeems any Notes on or after the Par Call Date, the redemption price for the Notes will be equal to 100% of the principal amount of the Notes to be redeemed, plus accrued and unpaid interest thereon to, but excluding, the date of redemption.</w:t>
            </w:r>
          </w:p>
        </w:tc>
      </w:tr>
      <w:tr>
        <w:trPr/>
        <w:tc>
          <w:tcPr>
            <w:tcW w:w="1596" w:type="dxa"/>
            <w:tcBorders/>
            <w:vAlign w:val="center"/>
          </w:tcPr>
          <w:p>
            <w:pPr>
              <w:pStyle w:val="TableContents"/>
              <w:bidi w:val="0"/>
              <w:spacing w:before="0" w:after="283"/>
              <w:jc w:val="left"/>
              <w:rPr/>
            </w:pPr>
            <w:r>
              <w:rPr/>
              <w:t> </w:t>
            </w:r>
          </w:p>
        </w:tc>
        <w:tc>
          <w:tcPr>
            <w:tcW w:w="8609" w:type="dxa"/>
            <w:gridSpan w:val="2"/>
            <w:tcBorders/>
            <w:vAlign w:val="center"/>
          </w:tcPr>
          <w:p>
            <w:pPr>
              <w:pStyle w:val="TableContents"/>
              <w:bidi w:val="0"/>
              <w:spacing w:before="0" w:after="283"/>
              <w:jc w:val="left"/>
              <w:rPr/>
            </w:pPr>
            <w:r>
              <w:rPr/>
              <w:t> </w:t>
            </w:r>
          </w:p>
        </w:tc>
      </w:tr>
      <w:tr>
        <w:trPr/>
        <w:tc>
          <w:tcPr>
            <w:tcW w:w="1596" w:type="dxa"/>
            <w:tcBorders/>
            <w:vAlign w:val="center"/>
          </w:tcPr>
          <w:p>
            <w:pPr>
              <w:pStyle w:val="TableContents"/>
              <w:bidi w:val="0"/>
              <w:spacing w:before="0" w:after="283"/>
              <w:jc w:val="left"/>
              <w:rPr>
                <w:sz w:val="20"/>
              </w:rPr>
            </w:pPr>
            <w:r>
              <w:rPr>
                <w:sz w:val="20"/>
              </w:rPr>
              <w:t>Denomination:</w:t>
            </w:r>
          </w:p>
        </w:tc>
        <w:tc>
          <w:tcPr>
            <w:tcW w:w="8609" w:type="dxa"/>
            <w:gridSpan w:val="2"/>
            <w:tcBorders/>
            <w:vAlign w:val="center"/>
          </w:tcPr>
          <w:p>
            <w:pPr>
              <w:pStyle w:val="TableContents"/>
              <w:bidi w:val="0"/>
              <w:spacing w:before="0" w:after="283"/>
              <w:jc w:val="left"/>
              <w:rPr>
                <w:sz w:val="20"/>
              </w:rPr>
            </w:pPr>
            <w:r>
              <w:rPr>
                <w:sz w:val="20"/>
              </w:rPr>
              <w:t>$2,000 and integral multiples of $1,000 in excess thereof</w:t>
            </w:r>
          </w:p>
        </w:tc>
      </w:tr>
      <w:tr>
        <w:trPr/>
        <w:tc>
          <w:tcPr>
            <w:tcW w:w="1596" w:type="dxa"/>
            <w:tcBorders/>
            <w:vAlign w:val="center"/>
          </w:tcPr>
          <w:p>
            <w:pPr>
              <w:pStyle w:val="TableContents"/>
              <w:bidi w:val="0"/>
              <w:spacing w:before="0" w:after="283"/>
              <w:jc w:val="left"/>
              <w:rPr/>
            </w:pPr>
            <w:r>
              <w:rPr/>
              <w:t> </w:t>
            </w:r>
          </w:p>
        </w:tc>
        <w:tc>
          <w:tcPr>
            <w:tcW w:w="8609" w:type="dxa"/>
            <w:gridSpan w:val="2"/>
            <w:tcBorders/>
            <w:vAlign w:val="center"/>
          </w:tcPr>
          <w:p>
            <w:pPr>
              <w:pStyle w:val="TableContents"/>
              <w:bidi w:val="0"/>
              <w:spacing w:before="0" w:after="283"/>
              <w:jc w:val="left"/>
              <w:rPr/>
            </w:pPr>
            <w:r>
              <w:rPr/>
              <w:t> </w:t>
            </w:r>
          </w:p>
        </w:tc>
      </w:tr>
      <w:tr>
        <w:trPr/>
        <w:tc>
          <w:tcPr>
            <w:tcW w:w="1596" w:type="dxa"/>
            <w:tcBorders/>
            <w:vAlign w:val="center"/>
          </w:tcPr>
          <w:p>
            <w:pPr>
              <w:pStyle w:val="TableContents"/>
              <w:bidi w:val="0"/>
              <w:spacing w:before="0" w:after="283"/>
              <w:jc w:val="left"/>
              <w:rPr>
                <w:sz w:val="20"/>
              </w:rPr>
            </w:pPr>
            <w:r>
              <w:rPr>
                <w:sz w:val="20"/>
              </w:rPr>
              <w:t>CUSIP/ISIN:</w:t>
            </w:r>
          </w:p>
        </w:tc>
        <w:tc>
          <w:tcPr>
            <w:tcW w:w="8609" w:type="dxa"/>
            <w:gridSpan w:val="2"/>
            <w:tcBorders/>
            <w:vAlign w:val="center"/>
          </w:tcPr>
          <w:p>
            <w:pPr>
              <w:pStyle w:val="TableContents"/>
              <w:bidi w:val="0"/>
              <w:spacing w:before="0" w:after="283"/>
              <w:jc w:val="left"/>
              <w:rPr>
                <w:sz w:val="20"/>
              </w:rPr>
            </w:pPr>
            <w:r>
              <w:rPr>
                <w:sz w:val="20"/>
              </w:rPr>
              <w:t>896442AM2 / US896442AM27</w:t>
            </w:r>
          </w:p>
        </w:tc>
      </w:tr>
      <w:tr>
        <w:trPr/>
        <w:tc>
          <w:tcPr>
            <w:tcW w:w="1596" w:type="dxa"/>
            <w:tcBorders/>
            <w:vAlign w:val="center"/>
          </w:tcPr>
          <w:p>
            <w:pPr>
              <w:pStyle w:val="TableContents"/>
              <w:bidi w:val="0"/>
              <w:spacing w:before="0" w:after="283"/>
              <w:jc w:val="left"/>
              <w:rPr/>
            </w:pPr>
            <w:r>
              <w:rPr/>
              <w:t> </w:t>
            </w:r>
          </w:p>
        </w:tc>
        <w:tc>
          <w:tcPr>
            <w:tcW w:w="8609" w:type="dxa"/>
            <w:gridSpan w:val="2"/>
            <w:tcBorders/>
            <w:vAlign w:val="center"/>
          </w:tcPr>
          <w:p>
            <w:pPr>
              <w:pStyle w:val="TableContents"/>
              <w:bidi w:val="0"/>
              <w:spacing w:before="0" w:after="283"/>
              <w:jc w:val="left"/>
              <w:rPr/>
            </w:pPr>
            <w:r>
              <w:rPr/>
              <w:t> </w:t>
            </w:r>
          </w:p>
        </w:tc>
      </w:tr>
      <w:tr>
        <w:trPr/>
        <w:tc>
          <w:tcPr>
            <w:tcW w:w="1596" w:type="dxa"/>
            <w:tcBorders/>
            <w:vAlign w:val="center"/>
          </w:tcPr>
          <w:p>
            <w:pPr>
              <w:pStyle w:val="TableContents"/>
              <w:bidi w:val="0"/>
              <w:spacing w:before="0" w:after="283"/>
              <w:jc w:val="left"/>
              <w:rPr>
                <w:sz w:val="20"/>
              </w:rPr>
            </w:pPr>
            <w:r>
              <w:rPr>
                <w:sz w:val="20"/>
              </w:rPr>
              <w:t>Joint Book-Running Managers:</w:t>
            </w:r>
          </w:p>
        </w:tc>
        <w:tc>
          <w:tcPr>
            <w:tcW w:w="8609" w:type="dxa"/>
            <w:gridSpan w:val="2"/>
            <w:tcBorders/>
            <w:vAlign w:val="center"/>
          </w:tcPr>
          <w:p>
            <w:pPr>
              <w:pStyle w:val="TableContents"/>
              <w:bidi w:val="0"/>
              <w:spacing w:before="0" w:after="283"/>
              <w:jc w:val="left"/>
              <w:rPr>
                <w:sz w:val="20"/>
              </w:rPr>
            </w:pPr>
            <w:r>
              <w:rPr>
                <w:sz w:val="20"/>
              </w:rPr>
              <w:t>Keefe, Bruyette &amp; Woods, Inc.</w:t>
            </w:r>
          </w:p>
        </w:tc>
      </w:tr>
      <w:tr>
        <w:trPr/>
        <w:tc>
          <w:tcPr>
            <w:tcW w:w="1596" w:type="dxa"/>
            <w:tcBorders/>
            <w:vAlign w:val="center"/>
          </w:tcPr>
          <w:p>
            <w:pPr>
              <w:pStyle w:val="TableContents"/>
              <w:bidi w:val="0"/>
              <w:spacing w:before="0" w:after="283"/>
              <w:jc w:val="left"/>
              <w:rPr/>
            </w:pPr>
            <w:r>
              <w:rPr/>
              <w:t> </w:t>
            </w:r>
          </w:p>
        </w:tc>
        <w:tc>
          <w:tcPr>
            <w:tcW w:w="8609" w:type="dxa"/>
            <w:gridSpan w:val="2"/>
            <w:tcBorders/>
            <w:vAlign w:val="center"/>
          </w:tcPr>
          <w:p>
            <w:pPr>
              <w:pStyle w:val="TableContents"/>
              <w:bidi w:val="0"/>
              <w:spacing w:before="0" w:after="283"/>
              <w:jc w:val="left"/>
              <w:rPr>
                <w:sz w:val="20"/>
              </w:rPr>
            </w:pPr>
            <w:r>
              <w:rPr>
                <w:sz w:val="20"/>
              </w:rPr>
              <w:t>MUFG Securities Americas Inc.</w:t>
            </w:r>
          </w:p>
        </w:tc>
      </w:tr>
      <w:tr>
        <w:trPr/>
        <w:tc>
          <w:tcPr>
            <w:tcW w:w="1596" w:type="dxa"/>
            <w:tcBorders/>
            <w:vAlign w:val="center"/>
          </w:tcPr>
          <w:p>
            <w:pPr>
              <w:pStyle w:val="TableContents"/>
              <w:bidi w:val="0"/>
              <w:spacing w:before="0" w:after="283"/>
              <w:jc w:val="left"/>
              <w:rPr/>
            </w:pPr>
            <w:r>
              <w:rPr/>
              <w:t> </w:t>
            </w:r>
          </w:p>
        </w:tc>
        <w:tc>
          <w:tcPr>
            <w:tcW w:w="8609" w:type="dxa"/>
            <w:gridSpan w:val="2"/>
            <w:tcBorders/>
            <w:vAlign w:val="center"/>
          </w:tcPr>
          <w:p>
            <w:pPr>
              <w:pStyle w:val="TableContents"/>
              <w:bidi w:val="0"/>
              <w:spacing w:before="0" w:after="283"/>
              <w:jc w:val="left"/>
              <w:rPr/>
            </w:pPr>
            <w:r>
              <w:rPr/>
              <w:t> </w:t>
            </w:r>
          </w:p>
        </w:tc>
      </w:tr>
      <w:tr>
        <w:trPr/>
        <w:tc>
          <w:tcPr>
            <w:tcW w:w="1596" w:type="dxa"/>
            <w:tcBorders/>
            <w:vAlign w:val="center"/>
          </w:tcPr>
          <w:p>
            <w:pPr>
              <w:pStyle w:val="TableContents"/>
              <w:bidi w:val="0"/>
              <w:spacing w:before="0" w:after="283"/>
              <w:jc w:val="left"/>
              <w:rPr/>
            </w:pPr>
            <w:r>
              <w:rPr/>
              <w:t>Co-Managers:</w:t>
            </w:r>
          </w:p>
        </w:tc>
        <w:tc>
          <w:tcPr>
            <w:tcW w:w="8609"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KeyBanc Capital Markets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Capital Markets,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Seelaus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Wedbush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 JMP Securities,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Hancock Whitney Investment Services,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Ladenburg Thalmann &amp; Co.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Capital Markets,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Oppenheimer &amp; Co.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Zions Direct,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securities rating is not a recommendation to buy, sell or hold securities and may be subject to revision or withdrawal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Issuer expects that delivery of the Notes will be made to investors on or about October 5, 2026, which will be the third business day following the date hereof. Under Rule 15c6-1 under the Securities Exchange Act of 1934, as amended, trades in the secondary market are required to settle in one business day, unless the parties to any such trade expressly agree otherwise. Accordingly, purchasers who wish to trade Notes on the date hereof or the following business day will be required by virtue of the fact that the Notes initially settle in T+3, to specify an alternate settlement arrangement at the time of any such trade to prevent a failed settlement. Purchasers of the Notes who wish to trade the Notes on the date hereof or the following business day should consult their advisors.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 are advised to carefully consider the investment objectives, risks, charges and expenses of the Issuer before investing. The Preliminary Prospectus, which has been filed with the Securities and Exchange Commission (the “SEC”), and the documents incorporated by reference therein, contain these factors and other information about the Issuer and should be read carefully before investing.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information in the Preliminary Prospectus and in this pricing term sheet is not complete and may be changed. The Preliminary Prospectus and this pricing term sheet are not offers to sell any securities of the Issuer and are not soliciting an offer to buy such securities in any jurisdiction where such offer and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filed a shelf registration statement (including a base prospectus) with the SEC for the offering to which this communication relates. Before you invest, you should read the base prospectus in that registration statement, the Preliminary Prospectus and the documents incorporated by reference therein, which the Issuer has filed with the SEC, for more complete information about the Issuer and this offering. You may obtain these documents for free by visiting EDGAR on the SEC Web site at www.sec.gov. Alternatively, the Issuer, any underwriter or any dealer participating in the offering will arrange to send you the Preliminary Prospectus if you request it from Keefe, Bruyette &amp; Woods, Inc., 787 7th Avenue, 4th Floor, New York, New York 10019, Attn: Debt Syndicate, by telephone at 1 (800) 966-1559, or from MUFG Securities Americas Inc., 1221 Avenue of the Americas, 6</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 New York, New York 10020, by telephone at 1 (877) 649-6848.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953</Words>
  <Characters>5024</Characters>
  <CharactersWithSpaces>5972</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